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8.png" ContentType="image/png"/>
  <Override PartName="/word/media/rId43.png" ContentType="image/png"/>
  <Override PartName="/word/media/rId33.png" ContentType="image/png"/>
  <Override PartName="/word/media/rId39.png" ContentType="image/png"/>
  <Override PartName="/word/media/rId84.png" ContentType="image/png"/>
  <Override PartName="/word/media/rId161.png" ContentType="image/png"/>
  <Override PartName="/word/media/rId77.png" ContentType="image/png"/>
  <Override PartName="/word/media/rId72.png" ContentType="image/png"/>
  <Override PartName="/word/media/rId74.png" ContentType="image/png"/>
  <Override PartName="/word/media/rId149.png" ContentType="image/png"/>
  <Override PartName="/word/media/rId148.png" ContentType="image/png"/>
  <Override PartName="/word/media/rId75.png" ContentType="image/png"/>
  <Override PartName="/word/media/rId71.png" ContentType="image/png"/>
  <Override PartName="/word/media/rId106.png" ContentType="image/png"/>
  <Override PartName="/word/media/rId91.png" ContentType="image/png"/>
  <Override PartName="/word/media/rId92.png" ContentType="image/png"/>
  <Override PartName="/word/media/rId93.png" ContentType="image/png"/>
  <Override PartName="/word/media/rId94.png" ContentType="image/png"/>
  <Override PartName="/word/media/rId101.png" ContentType="image/png"/>
  <Override PartName="/word/media/rId102.png" ContentType="image/png"/>
  <Override PartName="/word/media/rId103.png" ContentType="image/png"/>
  <Override PartName="/word/media/rId104.png" ContentType="image/png"/>
  <Override PartName="/word/media/rId96.png" ContentType="image/png"/>
  <Override PartName="/word/media/rId97.png" ContentType="image/png"/>
  <Override PartName="/word/media/rId98.png" ContentType="image/png"/>
  <Override PartName="/word/media/rId99.png" ContentType="image/png"/>
  <Override PartName="/word/media/rId89.png" ContentType="image/png"/>
  <Override PartName="/word/media/rId109.png" ContentType="image/png"/>
  <Override PartName="/word/media/rId112.png" ContentType="image/png"/>
  <Override PartName="/word/media/rId111.png" ContentType="image/png"/>
  <Override PartName="/word/media/rId64.png" ContentType="image/png"/>
  <Override PartName="/word/media/rId65.png" ContentType="image/png"/>
  <Override PartName="/word/media/rId145.png" ContentType="image/png"/>
  <Override PartName="/word/media/rId144.png" ContentType="image/png"/>
  <Override PartName="/word/media/rId142.png" ContentType="image/png"/>
  <Override PartName="/word/media/rId141.png" ContentType="image/png"/>
  <Override PartName="/word/media/rId59.png" ContentType="image/png"/>
  <Override PartName="/word/media/rId57.png" ContentType="image/png"/>
  <Override PartName="/word/media/rId139.png" ContentType="image/png"/>
  <Override PartName="/word/media/rId156.png" ContentType="image/png"/>
  <Override PartName="/word/media/rId157.png" ContentType="image/png"/>
  <Override PartName="/word/media/rId133.png" ContentType="image/png"/>
  <Override PartName="/word/media/rId108.png" ContentType="image/png"/>
  <Override PartName="/word/media/rId137.png" ContentType="image/png"/>
  <Override PartName="/word/media/rId136.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and</w:t>
      </w:r>
      <w:r>
        <w:t xml:space="preserve"> </w:t>
      </w:r>
      <w:r>
        <w:t xml:space="preserve">dissolved</w:t>
      </w:r>
      <w:r>
        <w:t xml:space="preserve"> </w:t>
      </w:r>
      <w:r>
        <w:t xml:space="preserve">organic</w:t>
      </w:r>
      <w:r>
        <w:t xml:space="preserve"> </w:t>
      </w:r>
      <w:r>
        <w:t xml:space="preserve">carbon</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watershed</w:t>
      </w:r>
      <w:r>
        <w:t xml:space="preserve"> </w:t>
      </w:r>
      <w:r>
        <w:t xml:space="preserve">on</w:t>
      </w:r>
      <w:r>
        <w:t xml:space="preserve"> </w:t>
      </w:r>
      <w:r>
        <w:t xml:space="preserve">Vancouver</w:t>
      </w:r>
      <w:r>
        <w:t xml:space="preserve"> </w:t>
      </w:r>
      <w:r>
        <w:t xml:space="preserve">Island,</w:t>
      </w:r>
      <w:r>
        <w:t xml:space="preserve"> </w:t>
      </w:r>
      <w:r>
        <w:t xml:space="preserve">BC</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The vertical sampling racks (Chapter 2) were based on principles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pPr>
        <w:pStyle w:val="BodyText"/>
      </w:pPr>
      <w:r>
        <w:t xml:space="preserve">Weather station data and geospatial data (forests and subsurface geological layers) for the Leech Watershed was supplied by the Capital Regional District and used with their permission.</w:t>
      </w:r>
    </w:p>
    <w:p>
      <w:pPr>
        <w:pStyle w:val="BodyText"/>
      </w:pPr>
      <w:r>
        <w:t xml:space="preserve">Laboratory analyses conducted at the University of British Columbia (UBC) were completed solely by Hannah J. McSorley.</w:t>
      </w:r>
    </w:p>
    <w:p>
      <w:pPr>
        <w:pStyle w:val="BodyText"/>
      </w:pPr>
      <w:r>
        <w:t xml:space="preserve">All data analysis was completed by H.J.McSorley using R (R-3.6.2) in RStudio (Version 1.3.820). Geospatial data were collected from GeoGratis, the Government of Canada Geospatial Data Extraction tool (geogratis.gc.ca) with supplemental data provided by the CRD. Any and all geospatial data provided by the CRD was used with permission from the Capital Regional District. All maps inlcuded in this thesis were created by H.J.McSorley using QGIS (version 3.12.1, Bucuresti;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w:t>
      </w:r>
      <w:r>
        <w:t xml:space="preserve"> </w:t>
      </w:r>
      <w:r>
        <w:rPr>
          <w:b/>
        </w:rPr>
        <w:t xml:space="preserve">List of Abbreviations</w:t>
      </w:r>
    </w:p>
    <w:tbl>
      <w:tblPr>
        <w:tblStyle w:val="Table"/>
        <w:tblW w:type="pct" w:w="5000.0"/>
        <w:tblLook w:firstRow="1"/>
        <w:tblCaption w:val="Table 1: List of Abbreviations"/>
      </w:tblPr>
      <w:tblGrid>
        <w:gridCol w:w="666"/>
        <w:gridCol w:w="7253"/>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E2:E3</w:t>
            </w:r>
          </w:p>
        </w:tc>
        <w:tc>
          <w:p>
            <w:pPr>
              <w:pStyle w:val="Compact"/>
              <w:jc w:val="left"/>
            </w:pPr>
            <w:r>
              <w:t xml:space="preserve">Quotient of SAC250 divided by SAC365</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RF</w:t>
            </w:r>
          </w:p>
        </w:tc>
        <w:tc>
          <w:p>
            <w:pPr>
              <w:pStyle w:val="Compact"/>
              <w:jc w:val="left"/>
            </w:pPr>
            <w:r>
              <w:t xml:space="preserve">Random Forest</w:t>
            </w:r>
          </w:p>
        </w:tc>
      </w:tr>
      <w:tr>
        <w:tc>
          <w:p>
            <w:pPr>
              <w:pStyle w:val="Compact"/>
              <w:jc w:val="left"/>
            </w:pPr>
            <w:r>
              <w:t xml:space="preserve">RSD</w:t>
            </w:r>
          </w:p>
        </w:tc>
        <w:tc>
          <w:p>
            <w:pPr>
              <w:pStyle w:val="Compact"/>
              <w:jc w:val="left"/>
            </w:pPr>
            <w:r>
              <w:t xml:space="preserve">Relative standard deviation (a.k.a coefficient of variance)</w:t>
            </w:r>
          </w:p>
        </w:tc>
      </w:tr>
      <w:tr>
        <w:tc>
          <w:p>
            <w:pPr>
              <w:pStyle w:val="Compact"/>
              <w:jc w:val="left"/>
            </w:pPr>
            <w:r>
              <w:t xml:space="preserve">SAC254</w:t>
            </w:r>
          </w:p>
        </w:tc>
        <w:tc>
          <w:p>
            <w:pPr>
              <w:pStyle w:val="Compact"/>
              <w:jc w:val="left"/>
            </w:pPr>
            <w:r>
              <w:t xml:space="preserve">Spectral absorbance coefficient at 254 nm (absorbance at 254 nm divided by pathlength)</w:t>
            </w:r>
          </w:p>
        </w:tc>
      </w:tr>
      <w:tr>
        <w:tc>
          <w:p>
            <w:pPr>
              <w:pStyle w:val="Compact"/>
              <w:jc w:val="left"/>
            </w:pPr>
            <w:r>
              <w:t xml:space="preserve">VIM</w:t>
            </w:r>
          </w:p>
        </w:tc>
        <w:tc>
          <w:p>
            <w:pPr>
              <w:pStyle w:val="Compact"/>
              <w:jc w:val="left"/>
            </w:pPr>
            <w:r>
              <w:t xml:space="preserve">Variable Importance Measure (in randomForest, R)</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Haesevoats, Annette Constabel,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forWater Network: Suzanne Tank, Mike Stone, Dana Harriman, Monica Emelko, Uldis Silins, and Axel Anderson. Thank you all for interesting discussions, and to the entire forWater Network for providing transdisciplinary training and workshops. Thank you to Emily Mistick for being my forWater travel buddy, for bouncing ideas and concepts around with me, and for checking my writing, it was that much better with you there.</w:t>
      </w:r>
    </w:p>
    <w:p>
      <w:pPr>
        <w:pStyle w:val="BodyText"/>
      </w:pPr>
      <w:r>
        <w:t xml:space="preserve"> </w:t>
      </w:r>
    </w:p>
    <w:p>
      <w:pPr>
        <w:pStyle w:val="BodyText"/>
      </w:pPr>
      <w:r>
        <w:t xml:space="preserve">I would like to acknowledge Vancouver Island University, University of British Columbia, the NSERC Canadian Graduate Scholarship Masters Award, and the NSERC forWater Network for Source Water Protection Strategies – thank you for supporting me financial (and tangibly) as a master’s student.</w:t>
      </w:r>
    </w:p>
    <w:p>
      <w:pPr>
        <w:pStyle w:val="BodyText"/>
      </w:pPr>
      <w:r>
        <w:t xml:space="preserve"> </w:t>
      </w:r>
    </w:p>
    <w:p>
      <w:pPr>
        <w:pStyle w:val="BodyText"/>
      </w:pPr>
      <w:r>
        <w:t xml:space="preserve">For help with field installations, streamflow gauging and sampling a big thanks to my friend and former field partner, Stewart Butler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et al.</w:t>
      </w:r>
      <w:r>
        <w:t xml:space="preserve"> </w:t>
      </w:r>
      <w:hyperlink w:anchor="ref-MWH2014">
        <w:r>
          <w:rPr>
            <w:rStyle w:val="Hyperlink"/>
          </w:rPr>
          <w:t xml:space="preserve">2012</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et al.</w:t>
      </w:r>
      <w:r>
        <w:t xml:space="preserve"> </w:t>
      </w:r>
      <w:hyperlink w:anchor="ref-MWH2014">
        <w:r>
          <w:rPr>
            <w:rStyle w:val="Hyperlink"/>
          </w:rPr>
          <w:t xml:space="preserve">2012</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f0154c72fa393fdd80636869b14743d3cef7466"/>
      <w:r>
        <w:t xml:space="preserve">Aqueous natural organic matter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w:t>
      </w:r>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Elizabeth W.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et al.</w:t>
      </w:r>
      <w:r>
        <w:t xml:space="preserve"> </w:t>
      </w:r>
      <w:hyperlink w:anchor="ref-MWH2014">
        <w:r>
          <w:rPr>
            <w:rStyle w:val="Hyperlink"/>
          </w:rPr>
          <w:t xml:space="preserve">2012</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Elizabeth W.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br/>
      </w:r>
    </w:p>
    <w:p>
      <w:pPr>
        <w:pStyle w:val="Heading5"/>
      </w:pPr>
      <w:bookmarkStart w:id="29" w:name="spectroscopic-assessment-of-nom"/>
      <w:r>
        <w:t xml:space="preserve">Spectroscopic assessment of NOM</w:t>
      </w:r>
      <w:bookmarkEnd w:id="29"/>
    </w:p>
    <w:p>
      <w:pPr>
        <w:pStyle w:val="FirstParagraph"/>
      </w:pPr>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wavelenghts</w:t>
      </w:r>
      <w:r>
        <w:t xml:space="preserve"> </w:t>
      </w:r>
      <w:r>
        <w:t xml:space="preserve">(Helms et al.</w:t>
      </w:r>
      <w:r>
        <w:t xml:space="preserve"> </w:t>
      </w:r>
      <w:hyperlink w:anchor="ref-Helms2008">
        <w:r>
          <w:rPr>
            <w:rStyle w:val="Hyperlink"/>
          </w:rPr>
          <w:t xml:space="preserve">2008</w:t>
        </w:r>
      </w:hyperlink>
      <w:r>
        <w:t xml:space="preserve">)</w:t>
      </w:r>
      <w:r>
        <w:t xml:space="preserve">. A more concentrated sample will also lead to greater absorption intensity.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Elizabeth W.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can be estimated from UV-Vis absorbance; a proxy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UV absorbance at 254 nm has been shown to correlate strongly with NOM aromaticity</w:t>
      </w:r>
      <w:r>
        <w:t xml:space="preserve"> </w:t>
      </w:r>
      <w:r>
        <w:t xml:space="preserve">(Weishaar et al.</w:t>
      </w:r>
      <w:r>
        <w:t xml:space="preserve"> </w:t>
      </w:r>
      <w:hyperlink w:anchor="ref-Weishaar2003">
        <w:r>
          <w:rPr>
            <w:rStyle w:val="Hyperlink"/>
          </w:rPr>
          <w:t xml:space="preserve">2003</w:t>
        </w:r>
      </w:hyperlink>
      <w:r>
        <w:t xml:space="preserve">)</w:t>
      </w:r>
      <w:r>
        <w:t xml:space="preserve">. Because allochthonous NOM (i.e. humic substances) are more aromatic than aliphatic, SAC</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the specific absorbance coefficient at 254 nm (SAC</w:t>
      </w:r>
      <w:r>
        <w:rPr>
          <w:vertAlign w:val="subscript"/>
        </w:rPr>
        <w:t xml:space="preserve">254</w:t>
      </w:r>
      <w:r>
        <w:t xml:space="preserve">) normalized to the samples DOC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(or simply SAC</w:t>
      </w:r>
      <w:r>
        <w:rPr>
          <w:vertAlign w:val="subscript"/>
        </w:rPr>
        <w:t xml:space="preserve">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The slope of absorbances over certain wavelength ranges (e.g. 275-295 nm (S275-295) or 350-400 nm (S350-400)) are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 (Peuravuori and Pihlaja 1997; Helms et al. 2008).</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n.d.</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w:t>
      </w:r>
      <w:r>
        <w:rPr>
          <w:i/>
          <w:b/>
        </w:rPr>
        <w:t xml:space="preserve">commercial sustained harvest</w:t>
      </w:r>
      <w:r>
        <w:t xml:space="preserve">)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and DOC across twelve sites in the GVWSA, and assesses the sampling program design. Chapter 4 focuses on six monitoring sites in the Leech WSA to evaluate research findings in context of watershed drivers for DOC and NOM dynamics. A comprehensive summary and discussion follows.</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and Chris Creek sub-basins; Weeks sub-basin (11.52 km^2) encompassed Weeks Lake and surrounding wetlands (Jordan Meadows fen), and Chris crk sub-basin (5.8 km^2) included smaller Worley Lake. Below the confluence of Weeks and Chris crk is the Leech-head site (20.59 km</w:t>
      </w:r>
      <w:r>
        <w:rPr>
          <w:vertAlign w:val="superscript"/>
        </w:rPr>
        <w:t xml:space="preserve">2</w:t>
      </w:r>
      <w:r>
        <w:t xml:space="preserve"> </w:t>
      </w:r>
      <w:r>
        <w:t xml:space="preserve">sub-basin), the head of Leech River.</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2</w:t>
      </w:r>
      <w:r>
        <w:t xml:space="preserve">). The predominant geological formation across the GVWSA was metamorphic parent material (Wark Gneiss). The Wark formation was common to all twelve sampling sub-basins except for West-Leech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slope of 61</w:t>
      </w:r>
      <m:oMath>
        <m:sSup>
          <m:e>
            <m:r>
              <m:t>​</m:t>
            </m:r>
          </m:e>
          <m:sup>
            <m:r>
              <m:t>∘</m:t>
            </m:r>
          </m:sup>
        </m:sSup>
      </m:oMath>
      <w:r>
        <w:t xml:space="preserve"> </w:t>
      </w:r>
      <w:r>
        <w:t xml:space="preserve">in the Leech Tunnel basin.</w:t>
      </w:r>
    </w:p>
    <w:p>
      <w:pPr>
        <w:pStyle w:val="BodyText"/>
      </w:pPr>
      <w:r>
        <w:t xml:space="preserve"> </w:t>
      </w:r>
    </w:p>
    <w:p>
      <w:pPr>
        <w:pStyle w:val="TableCaption"/>
      </w:pPr>
      <w:r>
        <w:t xml:space="preserve">Table 2: Watershed Characteristics of Twelve Synoptic Sampling Sites Across the Leech and Sooke Water Supply Areas (WSA), Greater Victoria, BC</w:t>
      </w:r>
    </w:p>
    <w:tbl>
      <w:tblPr>
        <w:tblStyle w:val="Table"/>
        <w:tblW w:type="pct" w:w="4999.999999999999"/>
        <w:tblLook w:firstRow="1"/>
        <w:tblCaption w:val="Table 2: Watershed Characteristics of Twelve Synoptic Sampling Sites Across the Leech and Sooke Water Supply Areas (WSA), Greater Victoria, BC"/>
      </w:tblPr>
      <w:tblGrid>
        <w:gridCol w:w="303"/>
        <w:gridCol w:w="404"/>
        <w:gridCol w:w="387"/>
        <w:gridCol w:w="151"/>
        <w:gridCol w:w="168"/>
        <w:gridCol w:w="960"/>
        <w:gridCol w:w="252"/>
        <w:gridCol w:w="337"/>
        <w:gridCol w:w="337"/>
        <w:gridCol w:w="404"/>
        <w:gridCol w:w="353"/>
        <w:gridCol w:w="404"/>
        <w:gridCol w:w="185"/>
        <w:gridCol w:w="202"/>
        <w:gridCol w:w="252"/>
        <w:gridCol w:w="269"/>
        <w:gridCol w:w="471"/>
        <w:gridCol w:w="488"/>
        <w:gridCol w:w="303"/>
        <w:gridCol w:w="404"/>
        <w:gridCol w:w="337"/>
        <w:gridCol w:w="303"/>
        <w:gridCol w:w="235"/>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Water supply area (WSA)</w:t>
            </w:r>
          </w:p>
        </w:tc>
        <w:tc>
          <w:tcPr>
            <w:tcBorders>
              <w:bottom w:val="single"/>
            </w:tcBorders>
            <w:vAlign w:val="bottom"/>
          </w:tcPr>
          <w:p>
            <w:pPr>
              <w:pStyle w:val="Compact"/>
              <w:jc w:val="left"/>
            </w:pPr>
            <w:r>
              <w:t xml:space="preserve">Monitoring site number</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left"/>
            </w:pPr>
            <w:r>
              <w:t xml:space="preserve">Interest / characteristic</w:t>
            </w:r>
          </w:p>
        </w:tc>
        <w:tc>
          <w:tcPr>
            <w:tcBorders>
              <w:bottom w:val="single"/>
            </w:tcBorders>
            <w:vAlign w:val="bottom"/>
          </w:tcPr>
          <w:p>
            <w:pPr>
              <w:pStyle w:val="Compact"/>
              <w:jc w:val="right"/>
            </w:pPr>
            <w:r>
              <w:t xml:space="preserve">Strahler Order</w:t>
            </w:r>
          </w:p>
        </w:tc>
        <w:tc>
          <w:tcPr>
            <w:tcBorders>
              <w:bottom w:val="single"/>
            </w:tcBorders>
            <w:vAlign w:val="bottom"/>
          </w:tcPr>
          <w:p>
            <w:pPr>
              <w:pStyle w:val="Compact"/>
              <w:jc w:val="right"/>
            </w:pPr>
            <w:r>
              <w:t xml:space="preserve">Drainage Area (km2)</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right"/>
            </w:pPr>
            <w:r>
              <w:t xml:space="preserve">Slope, median (degrees)</w:t>
            </w:r>
          </w:p>
        </w:tc>
        <w:tc>
          <w:tcPr>
            <w:tcBorders>
              <w:bottom w:val="single"/>
            </w:tcBorders>
            <w:vAlign w:val="bottom"/>
          </w:tcPr>
          <w:p>
            <w:pPr>
              <w:pStyle w:val="Compact"/>
              <w:jc w:val="right"/>
            </w:pPr>
            <w:r>
              <w:t xml:space="preserve">Slope, max (degrees)</w:t>
            </w:r>
          </w:p>
        </w:tc>
        <w:tc>
          <w:tcPr>
            <w:tcBorders>
              <w:bottom w:val="single"/>
            </w:tcBorders>
            <w:vAlign w:val="bottom"/>
          </w:tcPr>
          <w:p>
            <w:pPr>
              <w:pStyle w:val="Compact"/>
              <w:jc w:val="right"/>
            </w:pPr>
            <w:r>
              <w:t xml:space="preserve">Tree age (average, yrs)</w:t>
            </w:r>
          </w:p>
        </w:tc>
        <w:tc>
          <w:tcPr>
            <w:tcBorders>
              <w:bottom w:val="single"/>
            </w:tcBorders>
            <w:vAlign w:val="bottom"/>
          </w:tcPr>
          <w:p>
            <w:pPr>
              <w:pStyle w:val="Compact"/>
              <w:jc w:val="right"/>
            </w:pPr>
            <w:r>
              <w:t xml:space="preserve">Forest (%)</w:t>
            </w:r>
          </w:p>
        </w:tc>
        <w:tc>
          <w:tcPr>
            <w:tcBorders>
              <w:bottom w:val="single"/>
            </w:tcBorders>
            <w:vAlign w:val="bottom"/>
          </w:tcPr>
          <w:p>
            <w:pPr>
              <w:pStyle w:val="Compact"/>
              <w:jc w:val="right"/>
            </w:pPr>
            <w:r>
              <w:t xml:space="preserve">Wetland (%)</w:t>
            </w:r>
          </w:p>
        </w:tc>
        <w:tc>
          <w:tcPr>
            <w:tcBorders>
              <w:bottom w:val="single"/>
            </w:tcBorders>
            <w:vAlign w:val="bottom"/>
          </w:tcPr>
          <w:p>
            <w:pPr>
              <w:pStyle w:val="Compact"/>
              <w:jc w:val="right"/>
            </w:pPr>
            <w:r>
              <w:t xml:space="preserve">Open water (%)</w:t>
            </w:r>
          </w:p>
        </w:tc>
        <w:tc>
          <w:tcPr>
            <w:tcBorders>
              <w:bottom w:val="single"/>
            </w:tcBorders>
            <w:vAlign w:val="bottom"/>
          </w:tcPr>
          <w:p>
            <w:pPr>
              <w:pStyle w:val="Compact"/>
              <w:jc w:val="right"/>
            </w:pPr>
            <w:r>
              <w:t xml:space="preserve">Wark gneiss (%)</w:t>
            </w:r>
          </w:p>
        </w:tc>
        <w:tc>
          <w:tcPr>
            <w:tcBorders>
              <w:bottom w:val="single"/>
            </w:tcBorders>
            <w:vAlign w:val="bottom"/>
          </w:tcPr>
          <w:p>
            <w:pPr>
              <w:pStyle w:val="Compact"/>
              <w:jc w:val="right"/>
            </w:pPr>
            <w:r>
              <w:t xml:space="preserve">Argillite metagreywacke (%)</w:t>
            </w:r>
          </w:p>
        </w:tc>
        <w:tc>
          <w:tcPr>
            <w:tcBorders>
              <w:bottom w:val="single"/>
            </w:tcBorders>
            <w:vAlign w:val="bottom"/>
          </w:tcPr>
          <w:p>
            <w:pPr>
              <w:pStyle w:val="Compact"/>
              <w:jc w:val="right"/>
            </w:pPr>
            <w:r>
              <w:t xml:space="preserve">Chert argillite volcanic (%)</w:t>
            </w:r>
          </w:p>
        </w:tc>
        <w:tc>
          <w:tcPr>
            <w:tcBorders>
              <w:bottom w:val="single"/>
            </w:tcBorders>
            <w:vAlign w:val="bottom"/>
          </w:tcPr>
          <w:p>
            <w:pPr>
              <w:pStyle w:val="Compact"/>
              <w:jc w:val="right"/>
            </w:pPr>
            <w:r>
              <w:t xml:space="preserve">Metagreywacke (%)</w:t>
            </w:r>
          </w:p>
        </w:tc>
        <w:tc>
          <w:tcPr>
            <w:tcBorders>
              <w:bottom w:val="single"/>
            </w:tcBorders>
            <w:vAlign w:val="bottom"/>
          </w:tcPr>
          <w:p>
            <w:pPr>
              <w:pStyle w:val="Compact"/>
              <w:jc w:val="right"/>
            </w:pPr>
            <w:r>
              <w:t xml:space="preserve">Metchosin volcanics (%)</w:t>
            </w:r>
          </w:p>
        </w:tc>
        <w:tc>
          <w:tcPr>
            <w:tcBorders>
              <w:bottom w:val="single"/>
            </w:tcBorders>
            <w:vAlign w:val="bottom"/>
          </w:tcPr>
          <w:p>
            <w:pPr>
              <w:pStyle w:val="Compact"/>
              <w:jc w:val="right"/>
            </w:pPr>
            <w:r>
              <w:t xml:space="preserve">Colquitz gneiss (%)</w:t>
            </w:r>
          </w:p>
        </w:tc>
        <w:tc>
          <w:tcPr>
            <w:tcBorders>
              <w:bottom w:val="single"/>
            </w:tcBorders>
            <w:vAlign w:val="bottom"/>
          </w:tcPr>
          <w:p>
            <w:pPr>
              <w:pStyle w:val="Compact"/>
              <w:jc w:val="right"/>
            </w:pPr>
            <w:r>
              <w:t xml:space="preserve">Gabbro stocks (%)</w:t>
            </w:r>
          </w:p>
        </w:tc>
        <w:tc>
          <w:tcPr>
            <w:tcBorders>
              <w:bottom w:val="single"/>
            </w:tcBorders>
            <w:vAlign w:val="bottom"/>
          </w:tcPr>
          <w:p>
            <w:pPr>
              <w:pStyle w:val="Compact"/>
              <w:jc w:val="right"/>
            </w:pPr>
            <w:r>
              <w:t xml:space="preserve">Limestone (%)</w:t>
            </w:r>
          </w:p>
        </w:tc>
      </w:tr>
      <w:tr>
        <w:tc>
          <w:p>
            <w:pPr>
              <w:pStyle w:val="Compact"/>
              <w:jc w:val="left"/>
            </w:pPr>
            <w:r>
              <w:t xml:space="preserve">Weeks crk</w:t>
            </w:r>
          </w:p>
        </w:tc>
        <w:tc>
          <w:p>
            <w:pPr>
              <w:pStyle w:val="Compact"/>
              <w:jc w:val="left"/>
            </w:pPr>
            <w:r>
              <w:t xml:space="preserve">Leech</w:t>
            </w:r>
          </w:p>
        </w:tc>
        <w:tc>
          <w:p>
            <w:pPr>
              <w:pStyle w:val="Compact"/>
              <w:jc w:val="left"/>
            </w:pPr>
            <w:r>
              <w:t xml:space="preserve">1</w:t>
            </w:r>
          </w:p>
        </w:tc>
        <w:tc>
          <w:p>
            <w:pPr>
              <w:pStyle w:val="Compact"/>
              <w:jc w:val="right"/>
            </w:pPr>
            <w:r>
              <w:t xml:space="preserve">48.57592</w:t>
            </w:r>
          </w:p>
        </w:tc>
        <w:tc>
          <w:p>
            <w:pPr>
              <w:pStyle w:val="Compact"/>
              <w:jc w:val="right"/>
            </w:pPr>
            <w:r>
              <w:t xml:space="preserve">-123.8440</w:t>
            </w:r>
          </w:p>
        </w:tc>
        <w:tc>
          <w:p>
            <w:pPr>
              <w:pStyle w:val="Compact"/>
              <w:jc w:val="left"/>
            </w:pPr>
            <w:r>
              <w:t xml:space="preserve">Headwaters (Leech Rv.)</w:t>
            </w:r>
          </w:p>
        </w:tc>
        <w:tc>
          <w:p>
            <w:pPr>
              <w:pStyle w:val="Compact"/>
              <w:jc w:val="right"/>
            </w:pPr>
            <w:r>
              <w:t xml:space="preserve">3</w:t>
            </w:r>
          </w:p>
        </w:tc>
        <w:tc>
          <w:p>
            <w:pPr>
              <w:pStyle w:val="Compact"/>
              <w:jc w:val="right"/>
            </w:pPr>
            <w:r>
              <w:t xml:space="preserve">11.52</w:t>
            </w:r>
          </w:p>
        </w:tc>
        <w:tc>
          <w:p>
            <w:pPr>
              <w:pStyle w:val="Compact"/>
              <w:jc w:val="right"/>
            </w:pPr>
            <w:r>
              <w:t xml:space="preserve">521</w:t>
            </w:r>
          </w:p>
        </w:tc>
        <w:tc>
          <w:p>
            <w:pPr>
              <w:pStyle w:val="Compact"/>
              <w:jc w:val="right"/>
            </w:pPr>
            <w:r>
              <w:t xml:space="preserve">8</w:t>
            </w:r>
          </w:p>
        </w:tc>
        <w:tc>
          <w:p>
            <w:pPr>
              <w:pStyle w:val="Compact"/>
              <w:jc w:val="right"/>
            </w:pPr>
            <w:r>
              <w:t xml:space="preserve">44</w:t>
            </w:r>
          </w:p>
        </w:tc>
        <w:tc>
          <w:p>
            <w:pPr>
              <w:pStyle w:val="Compact"/>
              <w:jc w:val="right"/>
            </w:pPr>
            <w:r>
              <w:t xml:space="preserve">52</w:t>
            </w:r>
          </w:p>
        </w:tc>
        <w:tc>
          <w:p>
            <w:pPr>
              <w:pStyle w:val="Compact"/>
              <w:jc w:val="right"/>
            </w:pPr>
            <w:r>
              <w:t xml:space="preserve">94.5</w:t>
            </w:r>
          </w:p>
        </w:tc>
        <w:tc>
          <w:p>
            <w:pPr>
              <w:pStyle w:val="Compact"/>
              <w:jc w:val="right"/>
            </w:pPr>
            <w:r>
              <w:t xml:space="preserve">4.2</w:t>
            </w:r>
          </w:p>
        </w:tc>
        <w:tc>
          <w:p>
            <w:pPr>
              <w:pStyle w:val="Compact"/>
              <w:jc w:val="right"/>
            </w:pPr>
            <w:r>
              <w:t xml:space="preserve">2.9e+00</w:t>
            </w:r>
          </w:p>
        </w:tc>
        <w:tc>
          <w:p>
            <w:pPr>
              <w:pStyle w:val="Compact"/>
              <w:jc w:val="right"/>
            </w:pPr>
            <w:r>
              <w:t xml:space="preserve">13.6</w:t>
            </w:r>
          </w:p>
        </w:tc>
        <w:tc>
          <w:p>
            <w:pPr>
              <w:pStyle w:val="Compact"/>
              <w:jc w:val="right"/>
            </w:pPr>
            <w:r>
              <w:t xml:space="preserve">64.2</w:t>
            </w:r>
          </w:p>
        </w:tc>
        <w:tc>
          <w:p>
            <w:pPr>
              <w:pStyle w:val="Compact"/>
              <w:jc w:val="right"/>
            </w:pPr>
            <w:r>
              <w:t xml:space="preserve">22.2</w:t>
            </w:r>
          </w:p>
        </w:tc>
        <w:tc>
          <w:p>
            <w:pPr>
              <w:pStyle w:val="Compact"/>
              <w:jc w:val="right"/>
            </w:pPr>
            <w:r>
              <w:t xml:space="preserve">0.0</w:t>
            </w:r>
          </w:p>
        </w:tc>
        <w:tc>
          <w:p>
            <w:pPr>
              <w:pStyle w:val="Compact"/>
              <w:jc w:val="right"/>
            </w:pPr>
            <w:r>
              <w:t xml:space="preserve">0.0</w:t>
            </w:r>
          </w:p>
        </w:tc>
        <w:tc>
          <w:p>
            <w:pPr>
              <w:pStyle w:val="Compact"/>
              <w:jc w:val="right"/>
            </w:pPr>
            <w:r>
              <w:t xml:space="preserve">0.0</w:t>
            </w:r>
          </w:p>
        </w:tc>
        <w:tc>
          <w:p>
            <w:pPr>
              <w:pStyle w:val="Compact"/>
              <w:jc w:val="right"/>
            </w:pPr>
            <w:r>
              <w:t xml:space="preserve">0.0</w:t>
            </w:r>
          </w:p>
        </w:tc>
        <w:tc>
          <w:p>
            <w:pPr>
              <w:pStyle w:val="Compact"/>
              <w:jc w:val="right"/>
            </w:pPr>
            <w:r>
              <w:t xml:space="preserve">0.0</w:t>
            </w:r>
          </w:p>
        </w:tc>
      </w:tr>
      <w:tr>
        <w:tc>
          <w:p>
            <w:pPr>
              <w:pStyle w:val="Compact"/>
              <w:jc w:val="left"/>
            </w:pPr>
            <w:r>
              <w:t xml:space="preserve">Chris crk</w:t>
            </w:r>
          </w:p>
        </w:tc>
        <w:tc>
          <w:p>
            <w:pPr>
              <w:pStyle w:val="Compact"/>
              <w:jc w:val="left"/>
            </w:pPr>
            <w:r>
              <w:t xml:space="preserve">Leech</w:t>
            </w:r>
          </w:p>
        </w:tc>
        <w:tc>
          <w:p>
            <w:pPr>
              <w:pStyle w:val="Compact"/>
              <w:jc w:val="left"/>
            </w:pPr>
            <w:r>
              <w:t xml:space="preserve">2</w:t>
            </w:r>
          </w:p>
        </w:tc>
        <w:tc>
          <w:p>
            <w:pPr>
              <w:pStyle w:val="Compact"/>
              <w:jc w:val="right"/>
            </w:pPr>
            <w:r>
              <w:t xml:space="preserve">48.57691</w:t>
            </w:r>
          </w:p>
        </w:tc>
        <w:tc>
          <w:p>
            <w:pPr>
              <w:pStyle w:val="Compact"/>
              <w:jc w:val="right"/>
            </w:pPr>
            <w:r>
              <w:t xml:space="preserve">-123.8400</w:t>
            </w:r>
          </w:p>
        </w:tc>
        <w:tc>
          <w:p>
            <w:pPr>
              <w:pStyle w:val="Compact"/>
              <w:jc w:val="left"/>
            </w:pPr>
            <w:r>
              <w:t xml:space="preserve">Headwaters (Leech Rv.)</w:t>
            </w:r>
          </w:p>
        </w:tc>
        <w:tc>
          <w:p>
            <w:pPr>
              <w:pStyle w:val="Compact"/>
              <w:jc w:val="right"/>
            </w:pPr>
            <w:r>
              <w:t xml:space="preserve">3</w:t>
            </w:r>
          </w:p>
        </w:tc>
        <w:tc>
          <w:p>
            <w:pPr>
              <w:pStyle w:val="Compact"/>
              <w:jc w:val="right"/>
            </w:pPr>
            <w:r>
              <w:t xml:space="preserve">5.90</w:t>
            </w:r>
          </w:p>
        </w:tc>
        <w:tc>
          <w:p>
            <w:pPr>
              <w:pStyle w:val="Compact"/>
              <w:jc w:val="right"/>
            </w:pPr>
            <w:r>
              <w:t xml:space="preserve">522</w:t>
            </w:r>
          </w:p>
        </w:tc>
        <w:tc>
          <w:p>
            <w:pPr>
              <w:pStyle w:val="Compact"/>
              <w:jc w:val="right"/>
            </w:pPr>
            <w:r>
              <w:t xml:space="preserve">10</w:t>
            </w:r>
          </w:p>
        </w:tc>
        <w:tc>
          <w:p>
            <w:pPr>
              <w:pStyle w:val="Compact"/>
              <w:jc w:val="right"/>
            </w:pPr>
            <w:r>
              <w:t xml:space="preserve">38</w:t>
            </w:r>
          </w:p>
        </w:tc>
        <w:tc>
          <w:p>
            <w:pPr>
              <w:pStyle w:val="Compact"/>
              <w:jc w:val="right"/>
            </w:pPr>
            <w:r>
              <w:t xml:space="preserve">40</w:t>
            </w:r>
          </w:p>
        </w:tc>
        <w:tc>
          <w:p>
            <w:pPr>
              <w:pStyle w:val="Compact"/>
              <w:jc w:val="right"/>
            </w:pPr>
            <w:r>
              <w:t xml:space="preserve">99.0</w:t>
            </w:r>
          </w:p>
        </w:tc>
        <w:tc>
          <w:p>
            <w:pPr>
              <w:pStyle w:val="Compact"/>
              <w:jc w:val="right"/>
            </w:pPr>
            <w:r>
              <w:t xml:space="preserve">0.8</w:t>
            </w:r>
          </w:p>
        </w:tc>
        <w:tc>
          <w:p>
            <w:pPr>
              <w:pStyle w:val="Compact"/>
              <w:jc w:val="right"/>
            </w:pPr>
            <w:r>
              <w:t xml:space="preserve">6.0e-01</w:t>
            </w:r>
          </w:p>
        </w:tc>
        <w:tc>
          <w:p>
            <w:pPr>
              <w:pStyle w:val="Compact"/>
              <w:jc w:val="right"/>
            </w:pPr>
            <w:r>
              <w:t xml:space="preserve">44.9</w:t>
            </w:r>
          </w:p>
        </w:tc>
        <w:tc>
          <w:p>
            <w:pPr>
              <w:pStyle w:val="Compact"/>
              <w:jc w:val="right"/>
            </w:pPr>
            <w:r>
              <w:t xml:space="preserve">0.0</w:t>
            </w:r>
          </w:p>
        </w:tc>
        <w:tc>
          <w:p>
            <w:pPr>
              <w:pStyle w:val="Compact"/>
              <w:jc w:val="right"/>
            </w:pPr>
            <w:r>
              <w:t xml:space="preserve">55.1</w:t>
            </w:r>
          </w:p>
        </w:tc>
        <w:tc>
          <w:p>
            <w:pPr>
              <w:pStyle w:val="Compact"/>
              <w:jc w:val="right"/>
            </w:pPr>
            <w:r>
              <w:t xml:space="preserve">0.0</w:t>
            </w:r>
          </w:p>
        </w:tc>
        <w:tc>
          <w:p>
            <w:pPr>
              <w:pStyle w:val="Compact"/>
              <w:jc w:val="right"/>
            </w:pPr>
            <w:r>
              <w:t xml:space="preserve">0.0</w:t>
            </w:r>
          </w:p>
        </w:tc>
        <w:tc>
          <w:p>
            <w:pPr>
              <w:pStyle w:val="Compact"/>
              <w:jc w:val="right"/>
            </w:pPr>
            <w:r>
              <w:t xml:space="preserve">0.0</w:t>
            </w:r>
          </w:p>
        </w:tc>
        <w:tc>
          <w:p>
            <w:pPr>
              <w:pStyle w:val="Compact"/>
              <w:jc w:val="right"/>
            </w:pPr>
            <w:r>
              <w:t xml:space="preserve">0.0</w:t>
            </w:r>
          </w:p>
        </w:tc>
        <w:tc>
          <w:p>
            <w:pPr>
              <w:pStyle w:val="Compact"/>
              <w:jc w:val="right"/>
            </w:pPr>
            <w:r>
              <w:t xml:space="preserve">0.0</w:t>
            </w:r>
          </w:p>
        </w:tc>
      </w:tr>
      <w:tr>
        <w:tc>
          <w:p>
            <w:pPr>
              <w:pStyle w:val="Compact"/>
              <w:jc w:val="left"/>
            </w:pPr>
            <w:r>
              <w:t xml:space="preserve">Leech head</w:t>
            </w:r>
          </w:p>
        </w:tc>
        <w:tc>
          <w:p>
            <w:pPr>
              <w:pStyle w:val="Compact"/>
              <w:jc w:val="left"/>
            </w:pPr>
            <w:r>
              <w:t xml:space="preserve">Leech</w:t>
            </w:r>
          </w:p>
        </w:tc>
        <w:tc>
          <w:p>
            <w:pPr>
              <w:pStyle w:val="Compact"/>
              <w:jc w:val="left"/>
            </w:pPr>
            <w:r>
              <w:t xml:space="preserve">3</w:t>
            </w:r>
          </w:p>
        </w:tc>
        <w:tc>
          <w:p>
            <w:pPr>
              <w:pStyle w:val="Compact"/>
              <w:jc w:val="right"/>
            </w:pPr>
            <w:r>
              <w:t xml:space="preserve">48.56660</w:t>
            </w:r>
          </w:p>
        </w:tc>
        <w:tc>
          <w:p>
            <w:pPr>
              <w:pStyle w:val="Compact"/>
              <w:jc w:val="right"/>
            </w:pPr>
            <w:r>
              <w:t xml:space="preserve">-123.8257</w:t>
            </w:r>
          </w:p>
        </w:tc>
        <w:tc>
          <w:p>
            <w:pPr>
              <w:pStyle w:val="Compact"/>
              <w:jc w:val="left"/>
            </w:pPr>
            <w:r>
              <w:t xml:space="preserve">Leech Rv. head</w:t>
            </w:r>
          </w:p>
        </w:tc>
        <w:tc>
          <w:p>
            <w:pPr>
              <w:pStyle w:val="Compact"/>
              <w:jc w:val="right"/>
            </w:pPr>
            <w:r>
              <w:t xml:space="preserve">4</w:t>
            </w:r>
          </w:p>
        </w:tc>
        <w:tc>
          <w:p>
            <w:pPr>
              <w:pStyle w:val="Compact"/>
              <w:jc w:val="right"/>
            </w:pPr>
            <w:r>
              <w:t xml:space="preserve">20.59</w:t>
            </w:r>
          </w:p>
        </w:tc>
        <w:tc>
          <w:p>
            <w:pPr>
              <w:pStyle w:val="Compact"/>
              <w:jc w:val="right"/>
            </w:pPr>
            <w:r>
              <w:t xml:space="preserve">476</w:t>
            </w:r>
          </w:p>
        </w:tc>
        <w:tc>
          <w:p>
            <w:pPr>
              <w:pStyle w:val="Compact"/>
              <w:jc w:val="right"/>
            </w:pPr>
            <w:r>
              <w:t xml:space="preserve">9</w:t>
            </w:r>
          </w:p>
        </w:tc>
        <w:tc>
          <w:p>
            <w:pPr>
              <w:pStyle w:val="Compact"/>
              <w:jc w:val="right"/>
            </w:pPr>
            <w:r>
              <w:t xml:space="preserve">50</w:t>
            </w:r>
          </w:p>
        </w:tc>
        <w:tc>
          <w:p>
            <w:pPr>
              <w:pStyle w:val="Compact"/>
              <w:jc w:val="right"/>
            </w:pPr>
            <w:r>
              <w:t xml:space="preserve">48</w:t>
            </w:r>
          </w:p>
        </w:tc>
        <w:tc>
          <w:p>
            <w:pPr>
              <w:pStyle w:val="Compact"/>
              <w:jc w:val="right"/>
            </w:pPr>
            <w:r>
              <w:t xml:space="preserve">96.6</w:t>
            </w:r>
          </w:p>
        </w:tc>
        <w:tc>
          <w:p>
            <w:pPr>
              <w:pStyle w:val="Compact"/>
              <w:jc w:val="right"/>
            </w:pPr>
            <w:r>
              <w:t xml:space="preserve">2.6</w:t>
            </w:r>
          </w:p>
        </w:tc>
        <w:tc>
          <w:p>
            <w:pPr>
              <w:pStyle w:val="Compact"/>
              <w:jc w:val="right"/>
            </w:pPr>
            <w:r>
              <w:t xml:space="preserve">1.8e+00</w:t>
            </w:r>
          </w:p>
        </w:tc>
        <w:tc>
          <w:p>
            <w:pPr>
              <w:pStyle w:val="Compact"/>
              <w:jc w:val="right"/>
            </w:pPr>
            <w:r>
              <w:t xml:space="preserve">20.5</w:t>
            </w:r>
          </w:p>
        </w:tc>
        <w:tc>
          <w:p>
            <w:pPr>
              <w:pStyle w:val="Compact"/>
              <w:jc w:val="right"/>
            </w:pPr>
            <w:r>
              <w:t xml:space="preserve">42.1</w:t>
            </w:r>
          </w:p>
        </w:tc>
        <w:tc>
          <w:p>
            <w:pPr>
              <w:pStyle w:val="Compact"/>
              <w:jc w:val="right"/>
            </w:pPr>
            <w:r>
              <w:t xml:space="preserve">37.4</w:t>
            </w:r>
          </w:p>
        </w:tc>
        <w:tc>
          <w:p>
            <w:pPr>
              <w:pStyle w:val="Compact"/>
              <w:jc w:val="right"/>
            </w:pPr>
            <w:r>
              <w:t xml:space="preserve">0.0</w:t>
            </w:r>
          </w:p>
        </w:tc>
        <w:tc>
          <w:p>
            <w:pPr>
              <w:pStyle w:val="Compact"/>
              <w:jc w:val="right"/>
            </w:pPr>
            <w:r>
              <w:t xml:space="preserve">0.0</w:t>
            </w:r>
          </w:p>
        </w:tc>
        <w:tc>
          <w:p>
            <w:pPr>
              <w:pStyle w:val="Compact"/>
              <w:jc w:val="right"/>
            </w:pPr>
            <w:r>
              <w:t xml:space="preserve">0.0</w:t>
            </w:r>
          </w:p>
        </w:tc>
        <w:tc>
          <w:p>
            <w:pPr>
              <w:pStyle w:val="Compact"/>
              <w:jc w:val="right"/>
            </w:pPr>
            <w:r>
              <w:t xml:space="preserve">0.0</w:t>
            </w:r>
          </w:p>
        </w:tc>
        <w:tc>
          <w:p>
            <w:pPr>
              <w:pStyle w:val="Compact"/>
              <w:jc w:val="right"/>
            </w:pPr>
            <w:r>
              <w:t xml:space="preserve">0.0</w:t>
            </w:r>
          </w:p>
        </w:tc>
      </w:tr>
      <w:tr>
        <w:tc>
          <w:p>
            <w:pPr>
              <w:pStyle w:val="Compact"/>
              <w:jc w:val="left"/>
            </w:pPr>
            <w:r>
              <w:t xml:space="preserve">Cragg crk</w:t>
            </w:r>
          </w:p>
        </w:tc>
        <w:tc>
          <w:p>
            <w:pPr>
              <w:pStyle w:val="Compact"/>
              <w:jc w:val="left"/>
            </w:pPr>
            <w:r>
              <w:t xml:space="preserve">Leech</w:t>
            </w:r>
          </w:p>
        </w:tc>
        <w:tc>
          <w:p>
            <w:pPr>
              <w:pStyle w:val="Compact"/>
              <w:jc w:val="left"/>
            </w:pPr>
            <w:r>
              <w:t xml:space="preserve">4</w:t>
            </w:r>
          </w:p>
        </w:tc>
        <w:tc>
          <w:p>
            <w:pPr>
              <w:pStyle w:val="Compact"/>
              <w:jc w:val="right"/>
            </w:pPr>
            <w:r>
              <w:t xml:space="preserve">48.54856</w:t>
            </w:r>
          </w:p>
        </w:tc>
        <w:tc>
          <w:p>
            <w:pPr>
              <w:pStyle w:val="Compact"/>
              <w:jc w:val="right"/>
            </w:pPr>
            <w:r>
              <w:t xml:space="preserve">-123.7714</w:t>
            </w:r>
          </w:p>
        </w:tc>
        <w:tc>
          <w:p>
            <w:pPr>
              <w:pStyle w:val="Compact"/>
              <w:jc w:val="left"/>
            </w:pPr>
            <w:r>
              <w:t xml:space="preserve">Main tributary to Leech Rv.</w:t>
            </w:r>
          </w:p>
        </w:tc>
        <w:tc>
          <w:p>
            <w:pPr>
              <w:pStyle w:val="Compact"/>
              <w:jc w:val="right"/>
            </w:pPr>
            <w:r>
              <w:t xml:space="preserve">4</w:t>
            </w:r>
          </w:p>
        </w:tc>
        <w:tc>
          <w:p>
            <w:pPr>
              <w:pStyle w:val="Compact"/>
              <w:jc w:val="right"/>
            </w:pPr>
            <w:r>
              <w:t xml:space="preserve">28.06</w:t>
            </w:r>
          </w:p>
        </w:tc>
        <w:tc>
          <w:p>
            <w:pPr>
              <w:pStyle w:val="Compact"/>
              <w:jc w:val="right"/>
            </w:pPr>
            <w:r>
              <w:t xml:space="preserve">509</w:t>
            </w:r>
          </w:p>
        </w:tc>
        <w:tc>
          <w:p>
            <w:pPr>
              <w:pStyle w:val="Compact"/>
              <w:jc w:val="right"/>
            </w:pPr>
            <w:r>
              <w:t xml:space="preserve">9</w:t>
            </w:r>
          </w:p>
        </w:tc>
        <w:tc>
          <w:p>
            <w:pPr>
              <w:pStyle w:val="Compact"/>
              <w:jc w:val="right"/>
            </w:pPr>
            <w:r>
              <w:t xml:space="preserve">40</w:t>
            </w:r>
          </w:p>
        </w:tc>
        <w:tc>
          <w:p>
            <w:pPr>
              <w:pStyle w:val="Compact"/>
              <w:jc w:val="right"/>
            </w:pPr>
            <w:r>
              <w:t xml:space="preserve">59</w:t>
            </w:r>
          </w:p>
        </w:tc>
        <w:tc>
          <w:p>
            <w:pPr>
              <w:pStyle w:val="Compact"/>
              <w:jc w:val="right"/>
            </w:pPr>
            <w:r>
              <w:t xml:space="preserve">97.8</w:t>
            </w:r>
          </w:p>
        </w:tc>
        <w:tc>
          <w:p>
            <w:pPr>
              <w:pStyle w:val="Compact"/>
              <w:jc w:val="right"/>
            </w:pPr>
            <w:r>
              <w:t xml:space="preserve">1.6</w:t>
            </w:r>
          </w:p>
        </w:tc>
        <w:tc>
          <w:p>
            <w:pPr>
              <w:pStyle w:val="Compact"/>
              <w:jc w:val="right"/>
            </w:pPr>
            <w:r>
              <w:t xml:space="preserve">9.0e-01</w:t>
            </w:r>
          </w:p>
        </w:tc>
        <w:tc>
          <w:p>
            <w:pPr>
              <w:pStyle w:val="Compact"/>
              <w:jc w:val="right"/>
            </w:pPr>
            <w:r>
              <w:t xml:space="preserve">77.6</w:t>
            </w:r>
          </w:p>
        </w:tc>
        <w:tc>
          <w:p>
            <w:pPr>
              <w:pStyle w:val="Compact"/>
              <w:jc w:val="right"/>
            </w:pPr>
            <w:r>
              <w:t xml:space="preserve">0.0</w:t>
            </w:r>
          </w:p>
        </w:tc>
        <w:tc>
          <w:p>
            <w:pPr>
              <w:pStyle w:val="Compact"/>
              <w:jc w:val="right"/>
            </w:pPr>
            <w:r>
              <w:t xml:space="preserve">22.4</w:t>
            </w:r>
          </w:p>
        </w:tc>
        <w:tc>
          <w:p>
            <w:pPr>
              <w:pStyle w:val="Compact"/>
              <w:jc w:val="right"/>
            </w:pPr>
            <w:r>
              <w:t xml:space="preserve">0.0</w:t>
            </w:r>
          </w:p>
        </w:tc>
        <w:tc>
          <w:p>
            <w:pPr>
              <w:pStyle w:val="Compact"/>
              <w:jc w:val="right"/>
            </w:pPr>
            <w:r>
              <w:t xml:space="preserve">0.0</w:t>
            </w:r>
          </w:p>
        </w:tc>
        <w:tc>
          <w:p>
            <w:pPr>
              <w:pStyle w:val="Compact"/>
              <w:jc w:val="right"/>
            </w:pPr>
            <w:r>
              <w:t xml:space="preserve">0.0</w:t>
            </w:r>
          </w:p>
        </w:tc>
        <w:tc>
          <w:p>
            <w:pPr>
              <w:pStyle w:val="Compact"/>
              <w:jc w:val="right"/>
            </w:pPr>
            <w:r>
              <w:t xml:space="preserve">0.0</w:t>
            </w:r>
          </w:p>
        </w:tc>
        <w:tc>
          <w:p>
            <w:pPr>
              <w:pStyle w:val="Compact"/>
              <w:jc w:val="right"/>
            </w:pPr>
            <w:r>
              <w:t xml:space="preserve">0.0</w:t>
            </w:r>
          </w:p>
        </w:tc>
      </w:tr>
      <w:tr>
        <w:tc>
          <w:p>
            <w:pPr>
              <w:pStyle w:val="Compact"/>
              <w:jc w:val="left"/>
            </w:pPr>
            <w:r>
              <w:t xml:space="preserve">West Leech</w:t>
            </w:r>
          </w:p>
        </w:tc>
        <w:tc>
          <w:p>
            <w:pPr>
              <w:pStyle w:val="Compact"/>
              <w:jc w:val="left"/>
            </w:pPr>
            <w:r>
              <w:t xml:space="preserve">Leech</w:t>
            </w:r>
          </w:p>
        </w:tc>
        <w:tc>
          <w:p>
            <w:pPr>
              <w:pStyle w:val="Compact"/>
              <w:jc w:val="left"/>
            </w:pPr>
            <w:r>
              <w:t xml:space="preserve">5</w:t>
            </w:r>
          </w:p>
        </w:tc>
        <w:tc>
          <w:p>
            <w:pPr>
              <w:pStyle w:val="Compact"/>
              <w:jc w:val="right"/>
            </w:pPr>
            <w:r>
              <w:t xml:space="preserve">48.50635</w:t>
            </w:r>
          </w:p>
        </w:tc>
        <w:tc>
          <w:p>
            <w:pPr>
              <w:pStyle w:val="Compact"/>
              <w:jc w:val="right"/>
            </w:pPr>
            <w:r>
              <w:t xml:space="preserve">-123.7862</w:t>
            </w:r>
          </w:p>
        </w:tc>
        <w:tc>
          <w:p>
            <w:pPr>
              <w:pStyle w:val="Compact"/>
              <w:jc w:val="left"/>
            </w:pPr>
            <w:r>
              <w:t xml:space="preserve">Main tributary to Leech Rv.</w:t>
            </w:r>
          </w:p>
        </w:tc>
        <w:tc>
          <w:p>
            <w:pPr>
              <w:pStyle w:val="Compact"/>
              <w:jc w:val="right"/>
            </w:pPr>
            <w:r>
              <w:t xml:space="preserve">4</w:t>
            </w:r>
          </w:p>
        </w:tc>
        <w:tc>
          <w:p>
            <w:pPr>
              <w:pStyle w:val="Compact"/>
              <w:jc w:val="right"/>
            </w:pPr>
            <w:r>
              <w:t xml:space="preserve">20.85</w:t>
            </w:r>
          </w:p>
        </w:tc>
        <w:tc>
          <w:p>
            <w:pPr>
              <w:pStyle w:val="Compact"/>
              <w:jc w:val="right"/>
            </w:pPr>
            <w:r>
              <w:t xml:space="preserve">248</w:t>
            </w:r>
          </w:p>
        </w:tc>
        <w:tc>
          <w:p>
            <w:pPr>
              <w:pStyle w:val="Compact"/>
              <w:jc w:val="right"/>
            </w:pPr>
            <w:r>
              <w:t xml:space="preserve">9</w:t>
            </w:r>
          </w:p>
        </w:tc>
        <w:tc>
          <w:p>
            <w:pPr>
              <w:pStyle w:val="Compact"/>
              <w:jc w:val="right"/>
            </w:pPr>
            <w:r>
              <w:t xml:space="preserve">56</w:t>
            </w:r>
          </w:p>
        </w:tc>
        <w:tc>
          <w:p>
            <w:pPr>
              <w:pStyle w:val="Compact"/>
              <w:jc w:val="right"/>
            </w:pPr>
            <w:r>
              <w:t xml:space="preserve">49</w:t>
            </w:r>
          </w:p>
        </w:tc>
        <w:tc>
          <w:p>
            <w:pPr>
              <w:pStyle w:val="Compact"/>
              <w:jc w:val="right"/>
            </w:pPr>
            <w:r>
              <w:t xml:space="preserve">98.5</w:t>
            </w:r>
          </w:p>
        </w:tc>
        <w:tc>
          <w:p>
            <w:pPr>
              <w:pStyle w:val="Compact"/>
              <w:jc w:val="right"/>
            </w:pPr>
            <w:r>
              <w:t xml:space="preserve">0.4</w:t>
            </w:r>
          </w:p>
        </w:tc>
        <w:tc>
          <w:p>
            <w:pPr>
              <w:pStyle w:val="Compact"/>
              <w:jc w:val="right"/>
            </w:pPr>
            <w:r>
              <w:t xml:space="preserve">3.0e-01</w:t>
            </w:r>
          </w:p>
        </w:tc>
        <w:tc>
          <w:p>
            <w:pPr>
              <w:pStyle w:val="Compact"/>
              <w:jc w:val="right"/>
            </w:pPr>
            <w:r>
              <w:t xml:space="preserve">0.0</w:t>
            </w:r>
          </w:p>
        </w:tc>
        <w:tc>
          <w:p>
            <w:pPr>
              <w:pStyle w:val="Compact"/>
              <w:jc w:val="right"/>
            </w:pPr>
            <w:r>
              <w:t xml:space="preserve">76.8</w:t>
            </w:r>
          </w:p>
        </w:tc>
        <w:tc>
          <w:p>
            <w:pPr>
              <w:pStyle w:val="Compact"/>
              <w:jc w:val="right"/>
            </w:pPr>
            <w:r>
              <w:t xml:space="preserve">0.0</w:t>
            </w:r>
          </w:p>
        </w:tc>
        <w:tc>
          <w:p>
            <w:pPr>
              <w:pStyle w:val="Compact"/>
              <w:jc w:val="right"/>
            </w:pPr>
            <w:r>
              <w:t xml:space="preserve">7.2</w:t>
            </w:r>
          </w:p>
        </w:tc>
        <w:tc>
          <w:p>
            <w:pPr>
              <w:pStyle w:val="Compact"/>
              <w:jc w:val="right"/>
            </w:pPr>
            <w:r>
              <w:t xml:space="preserve">16.0</w:t>
            </w:r>
          </w:p>
        </w:tc>
        <w:tc>
          <w:p>
            <w:pPr>
              <w:pStyle w:val="Compact"/>
              <w:jc w:val="right"/>
            </w:pPr>
            <w:r>
              <w:t xml:space="preserve">0.0</w:t>
            </w:r>
          </w:p>
        </w:tc>
        <w:tc>
          <w:p>
            <w:pPr>
              <w:pStyle w:val="Compact"/>
              <w:jc w:val="right"/>
            </w:pPr>
            <w:r>
              <w:t xml:space="preserve">0.0</w:t>
            </w:r>
          </w:p>
        </w:tc>
        <w:tc>
          <w:p>
            <w:pPr>
              <w:pStyle w:val="Compact"/>
              <w:jc w:val="right"/>
            </w:pPr>
            <w:r>
              <w:t xml:space="preserve">0.0</w:t>
            </w:r>
          </w:p>
        </w:tc>
      </w:tr>
      <w:tr>
        <w:tc>
          <w:p>
            <w:pPr>
              <w:pStyle w:val="Compact"/>
              <w:jc w:val="left"/>
            </w:pPr>
            <w:r>
              <w:t xml:space="preserve">Leech Tunnel</w:t>
            </w:r>
          </w:p>
        </w:tc>
        <w:tc>
          <w:p>
            <w:pPr>
              <w:pStyle w:val="Compact"/>
              <w:jc w:val="left"/>
            </w:pPr>
            <w:r>
              <w:t xml:space="preserve">Leech</w:t>
            </w:r>
          </w:p>
        </w:tc>
        <w:tc>
          <w:p>
            <w:pPr>
              <w:pStyle w:val="Compact"/>
              <w:jc w:val="left"/>
            </w:pPr>
            <w:r>
              <w:t xml:space="preserve">6</w:t>
            </w:r>
          </w:p>
        </w:tc>
        <w:tc>
          <w:p>
            <w:pPr>
              <w:pStyle w:val="Compact"/>
              <w:jc w:val="right"/>
            </w:pPr>
            <w:r>
              <w:t xml:space="preserve">48.50690</w:t>
            </w:r>
          </w:p>
        </w:tc>
        <w:tc>
          <w:p>
            <w:pPr>
              <w:pStyle w:val="Compact"/>
              <w:jc w:val="right"/>
            </w:pPr>
            <w:r>
              <w:t xml:space="preserve">-123.7680</w:t>
            </w:r>
          </w:p>
        </w:tc>
        <w:tc>
          <w:p>
            <w:pPr>
              <w:pStyle w:val="Compact"/>
              <w:jc w:val="left"/>
            </w:pPr>
            <w:r>
              <w:t xml:space="preserve">Mainstem, future diversion point</w:t>
            </w:r>
          </w:p>
        </w:tc>
        <w:tc>
          <w:p>
            <w:pPr>
              <w:pStyle w:val="Compact"/>
              <w:jc w:val="right"/>
            </w:pPr>
            <w:r>
              <w:t xml:space="preserve">5</w:t>
            </w:r>
          </w:p>
        </w:tc>
        <w:tc>
          <w:p>
            <w:pPr>
              <w:pStyle w:val="Compact"/>
              <w:jc w:val="right"/>
            </w:pPr>
            <w:r>
              <w:t xml:space="preserve">95.30</w:t>
            </w:r>
          </w:p>
        </w:tc>
        <w:tc>
          <w:p>
            <w:pPr>
              <w:pStyle w:val="Compact"/>
              <w:jc w:val="right"/>
            </w:pPr>
            <w:r>
              <w:t xml:space="preserve">207</w:t>
            </w:r>
          </w:p>
        </w:tc>
        <w:tc>
          <w:p>
            <w:pPr>
              <w:pStyle w:val="Compact"/>
              <w:jc w:val="right"/>
            </w:pPr>
            <w:r>
              <w:t xml:space="preserve">10</w:t>
            </w:r>
          </w:p>
        </w:tc>
        <w:tc>
          <w:p>
            <w:pPr>
              <w:pStyle w:val="Compact"/>
              <w:jc w:val="right"/>
            </w:pPr>
            <w:r>
              <w:t xml:space="preserve">61</w:t>
            </w:r>
          </w:p>
        </w:tc>
        <w:tc>
          <w:p>
            <w:pPr>
              <w:pStyle w:val="Compact"/>
              <w:jc w:val="right"/>
            </w:pPr>
            <w:r>
              <w:t xml:space="preserve">53</w:t>
            </w:r>
          </w:p>
        </w:tc>
        <w:tc>
          <w:p>
            <w:pPr>
              <w:pStyle w:val="Compact"/>
              <w:jc w:val="right"/>
            </w:pPr>
            <w:r>
              <w:t xml:space="preserve">97.6</w:t>
            </w:r>
          </w:p>
        </w:tc>
        <w:tc>
          <w:p>
            <w:pPr>
              <w:pStyle w:val="Compact"/>
              <w:jc w:val="right"/>
            </w:pPr>
            <w:r>
              <w:t xml:space="preserve">1.1</w:t>
            </w:r>
          </w:p>
        </w:tc>
        <w:tc>
          <w:p>
            <w:pPr>
              <w:pStyle w:val="Compact"/>
              <w:jc w:val="right"/>
            </w:pPr>
            <w:r>
              <w:t xml:space="preserve">7.0e-01</w:t>
            </w:r>
          </w:p>
        </w:tc>
        <w:tc>
          <w:p>
            <w:pPr>
              <w:pStyle w:val="Compact"/>
              <w:jc w:val="right"/>
            </w:pPr>
            <w:r>
              <w:t xml:space="preserve">30.6</w:t>
            </w:r>
          </w:p>
        </w:tc>
        <w:tc>
          <w:p>
            <w:pPr>
              <w:pStyle w:val="Compact"/>
              <w:jc w:val="right"/>
            </w:pPr>
            <w:r>
              <w:t xml:space="preserve">45.1</w:t>
            </w:r>
          </w:p>
        </w:tc>
        <w:tc>
          <w:p>
            <w:pPr>
              <w:pStyle w:val="Compact"/>
              <w:jc w:val="right"/>
            </w:pPr>
            <w:r>
              <w:t xml:space="preserve">17.9</w:t>
            </w:r>
          </w:p>
        </w:tc>
        <w:tc>
          <w:p>
            <w:pPr>
              <w:pStyle w:val="Compact"/>
              <w:jc w:val="right"/>
            </w:pPr>
            <w:r>
              <w:t xml:space="preserve">1.6</w:t>
            </w:r>
          </w:p>
        </w:tc>
        <w:tc>
          <w:p>
            <w:pPr>
              <w:pStyle w:val="Compact"/>
              <w:jc w:val="right"/>
            </w:pPr>
            <w:r>
              <w:t xml:space="preserve">4.2</w:t>
            </w:r>
          </w:p>
        </w:tc>
        <w:tc>
          <w:p>
            <w:pPr>
              <w:pStyle w:val="Compact"/>
              <w:jc w:val="right"/>
            </w:pPr>
            <w:r>
              <w:t xml:space="preserve">0.0</w:t>
            </w:r>
          </w:p>
        </w:tc>
        <w:tc>
          <w:p>
            <w:pPr>
              <w:pStyle w:val="Compact"/>
              <w:jc w:val="right"/>
            </w:pPr>
            <w:r>
              <w:t xml:space="preserve">0.7</w:t>
            </w:r>
          </w:p>
        </w:tc>
        <w:tc>
          <w:p>
            <w:pPr>
              <w:pStyle w:val="Compact"/>
              <w:jc w:val="right"/>
            </w:pPr>
            <w:r>
              <w:t xml:space="preserve">0.0</w:t>
            </w:r>
          </w:p>
        </w:tc>
      </w:tr>
      <w:tr>
        <w:tc>
          <w:p>
            <w:pPr>
              <w:pStyle w:val="Compact"/>
              <w:jc w:val="left"/>
            </w:pPr>
            <w:r>
              <w:t xml:space="preserve">Judge crk</w:t>
            </w:r>
          </w:p>
        </w:tc>
        <w:tc>
          <w:p>
            <w:pPr>
              <w:pStyle w:val="Compact"/>
              <w:jc w:val="left"/>
            </w:pPr>
            <w:r>
              <w:t xml:space="preserve">Sooke</w:t>
            </w:r>
          </w:p>
        </w:tc>
        <w:tc>
          <w:p>
            <w:pPr>
              <w:pStyle w:val="Compact"/>
              <w:jc w:val="left"/>
            </w:pPr>
            <w:r>
              <w:t xml:space="preserve">synoptic only</w:t>
            </w:r>
          </w:p>
        </w:tc>
        <w:tc>
          <w:p>
            <w:pPr>
              <w:pStyle w:val="Compact"/>
              <w:jc w:val="right"/>
            </w:pPr>
            <w:r>
              <w:t xml:space="preserve">48.58569</w:t>
            </w:r>
          </w:p>
        </w:tc>
        <w:tc>
          <w:p>
            <w:pPr>
              <w:pStyle w:val="Compact"/>
              <w:jc w:val="right"/>
            </w:pPr>
            <w:r>
              <w:t xml:space="preserve">-123.6735</w:t>
            </w:r>
          </w:p>
        </w:tc>
        <w:tc>
          <w:p>
            <w:pPr>
              <w:pStyle w:val="Compact"/>
              <w:jc w:val="left"/>
            </w:pPr>
            <w:r>
              <w:t xml:space="preserve">2nd largest tributary to Sooke Reservoir</w:t>
            </w:r>
          </w:p>
        </w:tc>
        <w:tc>
          <w:p>
            <w:pPr>
              <w:pStyle w:val="Compact"/>
              <w:jc w:val="right"/>
            </w:pPr>
            <w:r>
              <w:t xml:space="preserve">3</w:t>
            </w:r>
          </w:p>
        </w:tc>
        <w:tc>
          <w:p>
            <w:pPr>
              <w:pStyle w:val="Compact"/>
              <w:jc w:val="right"/>
            </w:pPr>
            <w:r>
              <w:t xml:space="preserve">8.33</w:t>
            </w:r>
          </w:p>
        </w:tc>
        <w:tc>
          <w:p>
            <w:pPr>
              <w:pStyle w:val="Compact"/>
              <w:jc w:val="right"/>
            </w:pPr>
            <w:r>
              <w:t xml:space="preserve">200</w:t>
            </w:r>
          </w:p>
        </w:tc>
        <w:tc>
          <w:p>
            <w:pPr>
              <w:pStyle w:val="Compact"/>
              <w:jc w:val="right"/>
            </w:pPr>
            <w:r>
              <w:t xml:space="preserve">9</w:t>
            </w:r>
          </w:p>
        </w:tc>
        <w:tc>
          <w:p>
            <w:pPr>
              <w:pStyle w:val="Compact"/>
              <w:jc w:val="right"/>
            </w:pPr>
            <w:r>
              <w:t xml:space="preserve">42</w:t>
            </w:r>
          </w:p>
        </w:tc>
        <w:tc>
          <w:p>
            <w:pPr>
              <w:pStyle w:val="Compact"/>
              <w:jc w:val="right"/>
            </w:pPr>
            <w:r>
              <w:t xml:space="preserve">72</w:t>
            </w:r>
          </w:p>
        </w:tc>
        <w:tc>
          <w:p>
            <w:pPr>
              <w:pStyle w:val="Compact"/>
              <w:jc w:val="right"/>
            </w:pPr>
            <w:r>
              <w:t xml:space="preserve">92.7</w:t>
            </w:r>
          </w:p>
        </w:tc>
        <w:tc>
          <w:p>
            <w:pPr>
              <w:pStyle w:val="Compact"/>
              <w:jc w:val="right"/>
            </w:pPr>
            <w:r>
              <w:t xml:space="preserve">1.1</w:t>
            </w:r>
          </w:p>
        </w:tc>
        <w:tc>
          <w:p>
            <w:pPr>
              <w:pStyle w:val="Compact"/>
              <w:jc w:val="right"/>
            </w:pPr>
            <w:r>
              <w:t xml:space="preserve">0.0e+00</w:t>
            </w:r>
          </w:p>
        </w:tc>
        <w:tc>
          <w:p>
            <w:pPr>
              <w:pStyle w:val="Compact"/>
              <w:jc w:val="right"/>
            </w:pPr>
            <w:r>
              <w:t xml:space="preserve">27.0</w:t>
            </w:r>
          </w:p>
        </w:tc>
        <w:tc>
          <w:p>
            <w:pPr>
              <w:pStyle w:val="Compact"/>
              <w:jc w:val="right"/>
            </w:pPr>
            <w:r>
              <w:t xml:space="preserve">0.0</w:t>
            </w:r>
          </w:p>
        </w:tc>
        <w:tc>
          <w:p>
            <w:pPr>
              <w:pStyle w:val="Compact"/>
              <w:jc w:val="right"/>
            </w:pPr>
            <w:r>
              <w:t xml:space="preserve">0.0</w:t>
            </w:r>
          </w:p>
        </w:tc>
        <w:tc>
          <w:p>
            <w:pPr>
              <w:pStyle w:val="Compact"/>
              <w:jc w:val="right"/>
            </w:pPr>
            <w:r>
              <w:t xml:space="preserve">0.0</w:t>
            </w:r>
          </w:p>
        </w:tc>
        <w:tc>
          <w:p>
            <w:pPr>
              <w:pStyle w:val="Compact"/>
              <w:jc w:val="right"/>
            </w:pPr>
            <w:r>
              <w:t xml:space="preserve">0.0</w:t>
            </w:r>
          </w:p>
        </w:tc>
        <w:tc>
          <w:p>
            <w:pPr>
              <w:pStyle w:val="Compact"/>
              <w:jc w:val="right"/>
            </w:pPr>
            <w:r>
              <w:t xml:space="preserve">72.4</w:t>
            </w:r>
          </w:p>
        </w:tc>
        <w:tc>
          <w:p>
            <w:pPr>
              <w:pStyle w:val="Compact"/>
              <w:jc w:val="right"/>
            </w:pPr>
            <w:r>
              <w:t xml:space="preserve">0.0</w:t>
            </w:r>
          </w:p>
        </w:tc>
        <w:tc>
          <w:p>
            <w:pPr>
              <w:pStyle w:val="Compact"/>
              <w:jc w:val="right"/>
            </w:pPr>
            <w:r>
              <w:t xml:space="preserve">0.6</w:t>
            </w:r>
          </w:p>
        </w:tc>
      </w:tr>
      <w:tr>
        <w:tc>
          <w:p>
            <w:pPr>
              <w:pStyle w:val="Compact"/>
              <w:jc w:val="left"/>
            </w:pPr>
            <w:r>
              <w:t xml:space="preserve">Rithet crk</w:t>
            </w:r>
          </w:p>
        </w:tc>
        <w:tc>
          <w:p>
            <w:pPr>
              <w:pStyle w:val="Compact"/>
              <w:jc w:val="left"/>
            </w:pPr>
            <w:r>
              <w:t xml:space="preserve">Sooke</w:t>
            </w:r>
          </w:p>
        </w:tc>
        <w:tc>
          <w:p>
            <w:pPr>
              <w:pStyle w:val="Compact"/>
              <w:jc w:val="left"/>
            </w:pPr>
            <w:r>
              <w:t xml:space="preserve">synoptic only</w:t>
            </w:r>
          </w:p>
        </w:tc>
        <w:tc>
          <w:p>
            <w:pPr>
              <w:pStyle w:val="Compact"/>
              <w:jc w:val="right"/>
            </w:pPr>
            <w:r>
              <w:t xml:space="preserve">48.59123</w:t>
            </w:r>
          </w:p>
        </w:tc>
        <w:tc>
          <w:p>
            <w:pPr>
              <w:pStyle w:val="Compact"/>
              <w:jc w:val="right"/>
            </w:pPr>
            <w:r>
              <w:t xml:space="preserve">-123.7250</w:t>
            </w:r>
          </w:p>
        </w:tc>
        <w:tc>
          <w:p>
            <w:pPr>
              <w:pStyle w:val="Compact"/>
              <w:jc w:val="left"/>
            </w:pPr>
            <w:r>
              <w:t xml:space="preserve">Largest tributary to Sooke Reservoir</w:t>
            </w:r>
          </w:p>
        </w:tc>
        <w:tc>
          <w:p>
            <w:pPr>
              <w:pStyle w:val="Compact"/>
              <w:jc w:val="right"/>
            </w:pPr>
            <w:r>
              <w:t xml:space="preserve">4</w:t>
            </w:r>
          </w:p>
        </w:tc>
        <w:tc>
          <w:p>
            <w:pPr>
              <w:pStyle w:val="Compact"/>
              <w:jc w:val="right"/>
            </w:pPr>
            <w:r>
              <w:t xml:space="preserve">11.12</w:t>
            </w:r>
          </w:p>
        </w:tc>
        <w:tc>
          <w:p>
            <w:pPr>
              <w:pStyle w:val="Compact"/>
              <w:jc w:val="right"/>
            </w:pPr>
            <w:r>
              <w:t xml:space="preserve">252</w:t>
            </w:r>
          </w:p>
        </w:tc>
        <w:tc>
          <w:p>
            <w:pPr>
              <w:pStyle w:val="Compact"/>
              <w:jc w:val="right"/>
            </w:pPr>
            <w:r>
              <w:t xml:space="preserve">11</w:t>
            </w:r>
          </w:p>
        </w:tc>
        <w:tc>
          <w:p>
            <w:pPr>
              <w:pStyle w:val="Compact"/>
              <w:jc w:val="right"/>
            </w:pPr>
            <w:r>
              <w:t xml:space="preserve">48</w:t>
            </w:r>
          </w:p>
        </w:tc>
        <w:tc>
          <w:p>
            <w:pPr>
              <w:pStyle w:val="Compact"/>
              <w:jc w:val="right"/>
            </w:pPr>
            <w:r>
              <w:t xml:space="preserve">132</w:t>
            </w:r>
          </w:p>
        </w:tc>
        <w:tc>
          <w:p>
            <w:pPr>
              <w:pStyle w:val="Compact"/>
              <w:jc w:val="right"/>
            </w:pPr>
            <w:r>
              <w:t xml:space="preserve">99.4</w:t>
            </w:r>
          </w:p>
        </w:tc>
        <w:tc>
          <w:p>
            <w:pPr>
              <w:pStyle w:val="Compact"/>
              <w:jc w:val="right"/>
            </w:pPr>
            <w:r>
              <w:t xml:space="preserve">0.5</w:t>
            </w:r>
          </w:p>
        </w:tc>
        <w:tc>
          <w:p>
            <w:pPr>
              <w:pStyle w:val="Compact"/>
              <w:jc w:val="right"/>
            </w:pPr>
            <w:r>
              <w:t xml:space="preserve">0.0e+00</w:t>
            </w:r>
          </w:p>
        </w:tc>
        <w:tc>
          <w:p>
            <w:pPr>
              <w:pStyle w:val="Compact"/>
              <w:jc w:val="right"/>
            </w:pPr>
            <w:r>
              <w:t xml:space="preserve">79.2</w:t>
            </w:r>
          </w:p>
        </w:tc>
        <w:tc>
          <w:p>
            <w:pPr>
              <w:pStyle w:val="Compact"/>
              <w:jc w:val="right"/>
            </w:pPr>
            <w:r>
              <w:t xml:space="preserve">0.0</w:t>
            </w:r>
          </w:p>
        </w:tc>
        <w:tc>
          <w:p>
            <w:pPr>
              <w:pStyle w:val="Compact"/>
              <w:jc w:val="right"/>
            </w:pPr>
            <w:r>
              <w:t xml:space="preserve">0.0</w:t>
            </w:r>
          </w:p>
        </w:tc>
        <w:tc>
          <w:p>
            <w:pPr>
              <w:pStyle w:val="Compact"/>
              <w:jc w:val="right"/>
            </w:pPr>
            <w:r>
              <w:t xml:space="preserve">0.0</w:t>
            </w:r>
          </w:p>
        </w:tc>
        <w:tc>
          <w:p>
            <w:pPr>
              <w:pStyle w:val="Compact"/>
              <w:jc w:val="right"/>
            </w:pPr>
            <w:r>
              <w:t xml:space="preserve">0.0</w:t>
            </w:r>
          </w:p>
        </w:tc>
        <w:tc>
          <w:p>
            <w:pPr>
              <w:pStyle w:val="Compact"/>
              <w:jc w:val="right"/>
            </w:pPr>
            <w:r>
              <w:t xml:space="preserve">20.3</w:t>
            </w:r>
          </w:p>
        </w:tc>
        <w:tc>
          <w:p>
            <w:pPr>
              <w:pStyle w:val="Compact"/>
              <w:jc w:val="right"/>
            </w:pPr>
            <w:r>
              <w:t xml:space="preserve">0.0</w:t>
            </w:r>
          </w:p>
        </w:tc>
        <w:tc>
          <w:p>
            <w:pPr>
              <w:pStyle w:val="Compact"/>
              <w:jc w:val="right"/>
            </w:pPr>
            <w:r>
              <w:t xml:space="preserve">0.4</w:t>
            </w:r>
          </w:p>
        </w:tc>
      </w:tr>
      <w:tr>
        <w:tc>
          <w:p>
            <w:pPr>
              <w:pStyle w:val="Compact"/>
              <w:jc w:val="left"/>
            </w:pPr>
            <w:r>
              <w:t xml:space="preserve">Deception (gulch)</w:t>
            </w:r>
          </w:p>
        </w:tc>
        <w:tc>
          <w:p>
            <w:pPr>
              <w:pStyle w:val="Compact"/>
              <w:jc w:val="left"/>
            </w:pPr>
            <w:r>
              <w:t xml:space="preserve">Sooke</w:t>
            </w:r>
          </w:p>
        </w:tc>
        <w:tc>
          <w:p>
            <w:pPr>
              <w:pStyle w:val="Compact"/>
              <w:jc w:val="left"/>
            </w:pPr>
            <w:r>
              <w:t xml:space="preserve">synoptic only</w:t>
            </w:r>
          </w:p>
        </w:tc>
        <w:tc>
          <w:p>
            <w:pPr>
              <w:pStyle w:val="Compact"/>
              <w:jc w:val="right"/>
            </w:pPr>
            <w:r>
              <w:t xml:space="preserve">48.51694</w:t>
            </w:r>
          </w:p>
        </w:tc>
        <w:tc>
          <w:p>
            <w:pPr>
              <w:pStyle w:val="Compact"/>
              <w:jc w:val="right"/>
            </w:pPr>
            <w:r>
              <w:t xml:space="preserve">-123.7204</w:t>
            </w:r>
          </w:p>
        </w:tc>
        <w:tc>
          <w:p>
            <w:pPr>
              <w:pStyle w:val="Compact"/>
              <w:jc w:val="left"/>
            </w:pPr>
            <w:r>
              <w:t xml:space="preserve">Future diversion terminus</w:t>
            </w:r>
          </w:p>
        </w:tc>
        <w:tc>
          <w:p>
            <w:pPr>
              <w:pStyle w:val="Compact"/>
              <w:jc w:val="right"/>
            </w:pPr>
            <w:r>
              <w:t xml:space="preserve">3</w:t>
            </w:r>
          </w:p>
        </w:tc>
        <w:tc>
          <w:p>
            <w:pPr>
              <w:pStyle w:val="Compact"/>
              <w:jc w:val="right"/>
            </w:pPr>
            <w:r>
              <w:t xml:space="preserve">4.02</w:t>
            </w:r>
          </w:p>
        </w:tc>
        <w:tc>
          <w:p>
            <w:pPr>
              <w:pStyle w:val="Compact"/>
              <w:jc w:val="right"/>
            </w:pPr>
            <w:r>
              <w:t xml:space="preserve">195</w:t>
            </w:r>
          </w:p>
        </w:tc>
        <w:tc>
          <w:p>
            <w:pPr>
              <w:pStyle w:val="Compact"/>
              <w:jc w:val="right"/>
            </w:pPr>
            <w:r>
              <w:t xml:space="preserve">13</w:t>
            </w:r>
          </w:p>
        </w:tc>
        <w:tc>
          <w:p>
            <w:pPr>
              <w:pStyle w:val="Compact"/>
              <w:jc w:val="right"/>
            </w:pPr>
            <w:r>
              <w:t xml:space="preserve">49</w:t>
            </w:r>
          </w:p>
        </w:tc>
        <w:tc>
          <w:p>
            <w:pPr>
              <w:pStyle w:val="Compact"/>
              <w:jc w:val="right"/>
            </w:pPr>
            <w:r>
              <w:t xml:space="preserve">71</w:t>
            </w:r>
          </w:p>
        </w:tc>
        <w:tc>
          <w:p>
            <w:pPr>
              <w:pStyle w:val="Compact"/>
              <w:jc w:val="right"/>
            </w:pPr>
            <w:r>
              <w:t xml:space="preserve">87.7</w:t>
            </w:r>
          </w:p>
        </w:tc>
        <w:tc>
          <w:p>
            <w:pPr>
              <w:pStyle w:val="Compact"/>
              <w:jc w:val="right"/>
            </w:pPr>
            <w:r>
              <w:t xml:space="preserve">9.3</w:t>
            </w:r>
          </w:p>
        </w:tc>
        <w:tc>
          <w:p>
            <w:pPr>
              <w:pStyle w:val="Compact"/>
              <w:jc w:val="right"/>
            </w:pPr>
            <w:r>
              <w:t xml:space="preserve">0.0e+00</w:t>
            </w:r>
          </w:p>
        </w:tc>
        <w:tc>
          <w:p>
            <w:pPr>
              <w:pStyle w:val="Compact"/>
              <w:jc w:val="right"/>
            </w:pPr>
            <w:r>
              <w:t xml:space="preserve">61.2</w:t>
            </w:r>
          </w:p>
        </w:tc>
        <w:tc>
          <w:p>
            <w:pPr>
              <w:pStyle w:val="Compact"/>
              <w:jc w:val="right"/>
            </w:pPr>
            <w:r>
              <w:t xml:space="preserve">38.8</w:t>
            </w:r>
          </w:p>
        </w:tc>
        <w:tc>
          <w:p>
            <w:pPr>
              <w:pStyle w:val="Compact"/>
              <w:jc w:val="right"/>
            </w:pPr>
            <w:r>
              <w:t xml:space="preserve">0.0</w:t>
            </w:r>
          </w:p>
        </w:tc>
        <w:tc>
          <w:p>
            <w:pPr>
              <w:pStyle w:val="Compact"/>
              <w:jc w:val="right"/>
            </w:pPr>
            <w:r>
              <w:t xml:space="preserve">0.0</w:t>
            </w:r>
          </w:p>
        </w:tc>
        <w:tc>
          <w:p>
            <w:pPr>
              <w:pStyle w:val="Compact"/>
              <w:jc w:val="right"/>
            </w:pPr>
            <w:r>
              <w:t xml:space="preserve">0.0</w:t>
            </w:r>
          </w:p>
        </w:tc>
        <w:tc>
          <w:p>
            <w:pPr>
              <w:pStyle w:val="Compact"/>
              <w:jc w:val="right"/>
            </w:pPr>
            <w:r>
              <w:t xml:space="preserve">0.0</w:t>
            </w:r>
          </w:p>
        </w:tc>
        <w:tc>
          <w:p>
            <w:pPr>
              <w:pStyle w:val="Compact"/>
              <w:jc w:val="right"/>
            </w:pPr>
            <w:r>
              <w:t xml:space="preserve">0.0</w:t>
            </w:r>
          </w:p>
        </w:tc>
        <w:tc>
          <w:p>
            <w:pPr>
              <w:pStyle w:val="Compact"/>
              <w:jc w:val="right"/>
            </w:pPr>
            <w:r>
              <w:t xml:space="preserve">0.0</w:t>
            </w:r>
          </w:p>
        </w:tc>
      </w:tr>
      <w:tr>
        <w:tc>
          <w:p>
            <w:pPr>
              <w:pStyle w:val="Compact"/>
              <w:jc w:val="left"/>
            </w:pPr>
            <w:r>
              <w:t xml:space="preserve">Jarvis crk</w:t>
            </w:r>
          </w:p>
        </w:tc>
        <w:tc>
          <w:p>
            <w:pPr>
              <w:pStyle w:val="Compact"/>
              <w:jc w:val="left"/>
            </w:pPr>
            <w:r>
              <w:t xml:space="preserve">Leech</w:t>
            </w:r>
          </w:p>
        </w:tc>
        <w:tc>
          <w:p>
            <w:pPr>
              <w:pStyle w:val="Compact"/>
              <w:jc w:val="left"/>
            </w:pPr>
            <w:r>
              <w:t xml:space="preserve">synoptic only</w:t>
            </w:r>
          </w:p>
        </w:tc>
        <w:tc>
          <w:p>
            <w:pPr>
              <w:pStyle w:val="Compact"/>
              <w:jc w:val="right"/>
            </w:pPr>
            <w:r>
              <w:t xml:space="preserve">48.59677</w:t>
            </w:r>
          </w:p>
        </w:tc>
        <w:tc>
          <w:p>
            <w:pPr>
              <w:pStyle w:val="Compact"/>
              <w:jc w:val="right"/>
            </w:pPr>
            <w:r>
              <w:t xml:space="preserve">-123.7981</w:t>
            </w:r>
          </w:p>
        </w:tc>
        <w:tc>
          <w:p>
            <w:pPr>
              <w:pStyle w:val="Compact"/>
              <w:jc w:val="left"/>
            </w:pPr>
            <w:r>
              <w:t xml:space="preserve">Headwaters (Cragg Crk)</w:t>
            </w:r>
          </w:p>
        </w:tc>
        <w:tc>
          <w:p>
            <w:pPr>
              <w:pStyle w:val="Compact"/>
              <w:jc w:val="right"/>
            </w:pPr>
            <w:r>
              <w:t xml:space="preserve">2</w:t>
            </w:r>
          </w:p>
        </w:tc>
        <w:tc>
          <w:p>
            <w:pPr>
              <w:pStyle w:val="Compact"/>
              <w:jc w:val="right"/>
            </w:pPr>
            <w:r>
              <w:t xml:space="preserve">1.51</w:t>
            </w:r>
          </w:p>
        </w:tc>
        <w:tc>
          <w:p>
            <w:pPr>
              <w:pStyle w:val="Compact"/>
              <w:jc w:val="right"/>
            </w:pPr>
            <w:r>
              <w:t xml:space="preserve">742</w:t>
            </w:r>
          </w:p>
        </w:tc>
        <w:tc>
          <w:p>
            <w:pPr>
              <w:pStyle w:val="Compact"/>
              <w:jc w:val="right"/>
            </w:pPr>
            <w:r>
              <w:t xml:space="preserve">5</w:t>
            </w:r>
          </w:p>
        </w:tc>
        <w:tc>
          <w:p>
            <w:pPr>
              <w:pStyle w:val="Compact"/>
              <w:jc w:val="right"/>
            </w:pPr>
            <w:r>
              <w:t xml:space="preserve">21</w:t>
            </w:r>
          </w:p>
        </w:tc>
        <w:tc>
          <w:p>
            <w:pPr>
              <w:pStyle w:val="Compact"/>
              <w:jc w:val="right"/>
            </w:pPr>
            <w:r>
              <w:t xml:space="preserve">37</w:t>
            </w:r>
          </w:p>
        </w:tc>
        <w:tc>
          <w:p>
            <w:pPr>
              <w:pStyle w:val="Compact"/>
              <w:jc w:val="right"/>
            </w:pPr>
            <w:r>
              <w:t xml:space="preserve">93.0</w:t>
            </w:r>
          </w:p>
        </w:tc>
        <w:tc>
          <w:p>
            <w:pPr>
              <w:pStyle w:val="Compact"/>
              <w:jc w:val="right"/>
            </w:pPr>
            <w:r>
              <w:t xml:space="preserve">4.0</w:t>
            </w:r>
          </w:p>
        </w:tc>
        <w:tc>
          <w:p>
            <w:pPr>
              <w:pStyle w:val="Compact"/>
              <w:jc w:val="right"/>
            </w:pPr>
            <w:r>
              <w:t xml:space="preserve">2.0e-06</w:t>
            </w:r>
          </w:p>
        </w:tc>
        <w:tc>
          <w:p>
            <w:pPr>
              <w:pStyle w:val="Compact"/>
              <w:jc w:val="right"/>
            </w:pPr>
            <w:r>
              <w:t xml:space="preserve">100.0</w:t>
            </w:r>
          </w:p>
        </w:tc>
        <w:tc>
          <w:p>
            <w:pPr>
              <w:pStyle w:val="Compact"/>
              <w:jc w:val="right"/>
            </w:pPr>
            <w:r>
              <w:t xml:space="preserve">0.0</w:t>
            </w:r>
          </w:p>
        </w:tc>
        <w:tc>
          <w:p>
            <w:pPr>
              <w:pStyle w:val="Compact"/>
              <w:jc w:val="right"/>
            </w:pPr>
            <w:r>
              <w:t xml:space="preserve">0.0</w:t>
            </w:r>
          </w:p>
        </w:tc>
        <w:tc>
          <w:p>
            <w:pPr>
              <w:pStyle w:val="Compact"/>
              <w:jc w:val="right"/>
            </w:pPr>
            <w:r>
              <w:t xml:space="preserve">0.0</w:t>
            </w:r>
          </w:p>
        </w:tc>
        <w:tc>
          <w:p>
            <w:pPr>
              <w:pStyle w:val="Compact"/>
              <w:jc w:val="right"/>
            </w:pPr>
            <w:r>
              <w:t xml:space="preserve">0.0</w:t>
            </w:r>
          </w:p>
        </w:tc>
        <w:tc>
          <w:p>
            <w:pPr>
              <w:pStyle w:val="Compact"/>
              <w:jc w:val="right"/>
            </w:pPr>
            <w:r>
              <w:t xml:space="preserve">0.0</w:t>
            </w:r>
          </w:p>
        </w:tc>
        <w:tc>
          <w:p>
            <w:pPr>
              <w:pStyle w:val="Compact"/>
              <w:jc w:val="right"/>
            </w:pPr>
            <w:r>
              <w:t xml:space="preserve">0.0</w:t>
            </w:r>
          </w:p>
        </w:tc>
        <w:tc>
          <w:p>
            <w:pPr>
              <w:pStyle w:val="Compact"/>
              <w:jc w:val="right"/>
            </w:pPr>
            <w:r>
              <w:t xml:space="preserve">0.0</w:t>
            </w:r>
          </w:p>
        </w:tc>
      </w:tr>
      <w:tr>
        <w:tc>
          <w:p>
            <w:pPr>
              <w:pStyle w:val="Compact"/>
              <w:jc w:val="left"/>
            </w:pPr>
            <w:r>
              <w:t xml:space="preserve">Lazar crk</w:t>
            </w:r>
          </w:p>
        </w:tc>
        <w:tc>
          <w:p>
            <w:pPr>
              <w:pStyle w:val="Compact"/>
              <w:jc w:val="left"/>
            </w:pPr>
            <w:r>
              <w:t xml:space="preserve">Leech</w:t>
            </w:r>
          </w:p>
        </w:tc>
        <w:tc>
          <w:p>
            <w:pPr>
              <w:pStyle w:val="Compact"/>
              <w:jc w:val="left"/>
            </w:pPr>
            <w:r>
              <w:t xml:space="preserve">synoptic only</w:t>
            </w:r>
          </w:p>
        </w:tc>
        <w:tc>
          <w:p>
            <w:pPr>
              <w:pStyle w:val="Compact"/>
              <w:jc w:val="right"/>
            </w:pPr>
            <w:r>
              <w:t xml:space="preserve">48.59179</w:t>
            </w:r>
          </w:p>
        </w:tc>
        <w:tc>
          <w:p>
            <w:pPr>
              <w:pStyle w:val="Compact"/>
              <w:jc w:val="right"/>
            </w:pPr>
            <w:r>
              <w:t xml:space="preserve">-123.7700</w:t>
            </w:r>
          </w:p>
        </w:tc>
        <w:tc>
          <w:p>
            <w:pPr>
              <w:pStyle w:val="Compact"/>
              <w:jc w:val="left"/>
            </w:pPr>
            <w:r>
              <w:t xml:space="preserve">Headwaters (Cragg Crk)</w:t>
            </w:r>
          </w:p>
        </w:tc>
        <w:tc>
          <w:p>
            <w:pPr>
              <w:pStyle w:val="Compact"/>
              <w:jc w:val="right"/>
            </w:pPr>
            <w:r>
              <w:t xml:space="preserve">3</w:t>
            </w:r>
          </w:p>
        </w:tc>
        <w:tc>
          <w:p>
            <w:pPr>
              <w:pStyle w:val="Compact"/>
              <w:jc w:val="right"/>
            </w:pPr>
            <w:r>
              <w:t xml:space="preserve">4.74</w:t>
            </w:r>
          </w:p>
        </w:tc>
        <w:tc>
          <w:p>
            <w:pPr>
              <w:pStyle w:val="Compact"/>
              <w:jc w:val="right"/>
            </w:pPr>
            <w:r>
              <w:t xml:space="preserve">651</w:t>
            </w:r>
          </w:p>
        </w:tc>
        <w:tc>
          <w:p>
            <w:pPr>
              <w:pStyle w:val="Compact"/>
              <w:jc w:val="right"/>
            </w:pPr>
            <w:r>
              <w:t xml:space="preserve">6</w:t>
            </w:r>
          </w:p>
        </w:tc>
        <w:tc>
          <w:p>
            <w:pPr>
              <w:pStyle w:val="Compact"/>
              <w:jc w:val="right"/>
            </w:pPr>
            <w:r>
              <w:t xml:space="preserve">29</w:t>
            </w:r>
          </w:p>
        </w:tc>
        <w:tc>
          <w:p>
            <w:pPr>
              <w:pStyle w:val="Compact"/>
              <w:jc w:val="right"/>
            </w:pPr>
            <w:r>
              <w:t xml:space="preserve">41</w:t>
            </w:r>
          </w:p>
        </w:tc>
        <w:tc>
          <w:p>
            <w:pPr>
              <w:pStyle w:val="Compact"/>
              <w:jc w:val="right"/>
            </w:pPr>
            <w:r>
              <w:t xml:space="preserve">84.0</w:t>
            </w:r>
          </w:p>
        </w:tc>
        <w:tc>
          <w:p>
            <w:pPr>
              <w:pStyle w:val="Compact"/>
              <w:jc w:val="right"/>
            </w:pPr>
            <w:r>
              <w:t xml:space="preserve">12.0</w:t>
            </w:r>
          </w:p>
        </w:tc>
        <w:tc>
          <w:p>
            <w:pPr>
              <w:pStyle w:val="Compact"/>
              <w:jc w:val="right"/>
            </w:pPr>
            <w:r>
              <w:t xml:space="preserve">7.0e-02</w:t>
            </w:r>
          </w:p>
        </w:tc>
        <w:tc>
          <w:p>
            <w:pPr>
              <w:pStyle w:val="Compact"/>
              <w:jc w:val="right"/>
            </w:pPr>
            <w:r>
              <w:t xml:space="preserve">100.0</w:t>
            </w:r>
          </w:p>
        </w:tc>
        <w:tc>
          <w:p>
            <w:pPr>
              <w:pStyle w:val="Compact"/>
              <w:jc w:val="right"/>
            </w:pPr>
            <w:r>
              <w:t xml:space="preserve">0.0</w:t>
            </w:r>
          </w:p>
        </w:tc>
        <w:tc>
          <w:p>
            <w:pPr>
              <w:pStyle w:val="Compact"/>
              <w:jc w:val="right"/>
            </w:pPr>
            <w:r>
              <w:t xml:space="preserve">0.0</w:t>
            </w:r>
          </w:p>
        </w:tc>
        <w:tc>
          <w:p>
            <w:pPr>
              <w:pStyle w:val="Compact"/>
              <w:jc w:val="right"/>
            </w:pPr>
            <w:r>
              <w:t xml:space="preserve">0.0</w:t>
            </w:r>
          </w:p>
        </w:tc>
        <w:tc>
          <w:p>
            <w:pPr>
              <w:pStyle w:val="Compact"/>
              <w:jc w:val="right"/>
            </w:pPr>
            <w:r>
              <w:t xml:space="preserve">0.0</w:t>
            </w:r>
          </w:p>
        </w:tc>
        <w:tc>
          <w:p>
            <w:pPr>
              <w:pStyle w:val="Compact"/>
              <w:jc w:val="right"/>
            </w:pPr>
            <w:r>
              <w:t xml:space="preserve">0.0</w:t>
            </w:r>
          </w:p>
        </w:tc>
        <w:tc>
          <w:p>
            <w:pPr>
              <w:pStyle w:val="Compact"/>
              <w:jc w:val="right"/>
            </w:pPr>
            <w:r>
              <w:t xml:space="preserve">0.0</w:t>
            </w:r>
          </w:p>
        </w:tc>
        <w:tc>
          <w:p>
            <w:pPr>
              <w:pStyle w:val="Compact"/>
              <w:jc w:val="right"/>
            </w:pPr>
            <w:r>
              <w:t xml:space="preserve">0.0</w:t>
            </w:r>
          </w:p>
        </w:tc>
      </w:tr>
      <w:tr>
        <w:tc>
          <w:p>
            <w:pPr>
              <w:pStyle w:val="Compact"/>
              <w:jc w:val="left"/>
            </w:pPr>
            <w:r>
              <w:t xml:space="preserve">Leech beach</w:t>
            </w:r>
          </w:p>
        </w:tc>
        <w:tc>
          <w:p>
            <w:pPr>
              <w:pStyle w:val="Compact"/>
              <w:jc w:val="left"/>
            </w:pPr>
            <w:r>
              <w:t xml:space="preserve">Leech</w:t>
            </w:r>
          </w:p>
        </w:tc>
        <w:tc>
          <w:p>
            <w:pPr>
              <w:pStyle w:val="Compact"/>
              <w:jc w:val="left"/>
            </w:pPr>
            <w:r>
              <w:t xml:space="preserve">synoptic only</w:t>
            </w:r>
          </w:p>
        </w:tc>
        <w:tc>
          <w:p>
            <w:pPr>
              <w:pStyle w:val="Compact"/>
              <w:jc w:val="right"/>
            </w:pPr>
            <w:r>
              <w:t xml:space="preserve">48.50678</w:t>
            </w:r>
          </w:p>
        </w:tc>
        <w:tc>
          <w:p>
            <w:pPr>
              <w:pStyle w:val="Compact"/>
              <w:jc w:val="right"/>
            </w:pPr>
            <w:r>
              <w:t xml:space="preserve">-123.7818</w:t>
            </w:r>
          </w:p>
        </w:tc>
        <w:tc>
          <w:p>
            <w:pPr>
              <w:pStyle w:val="Compact"/>
              <w:jc w:val="left"/>
            </w:pPr>
            <w:r>
              <w:t xml:space="preserve">below confluence of West-Leech with Leech River mainstem</w:t>
            </w:r>
          </w:p>
        </w:tc>
        <w:tc>
          <w:p>
            <w:pPr>
              <w:pStyle w:val="Compact"/>
              <w:jc w:val="right"/>
            </w:pPr>
            <w:r>
              <w:t xml:space="preserve">5</w:t>
            </w:r>
          </w:p>
        </w:tc>
        <w:tc>
          <w:p>
            <w:pPr>
              <w:pStyle w:val="Compact"/>
              <w:jc w:val="right"/>
            </w:pPr>
            <w:r>
              <w:t xml:space="preserve">94.09</w:t>
            </w:r>
          </w:p>
        </w:tc>
        <w:tc>
          <w:p>
            <w:pPr>
              <w:pStyle w:val="Compact"/>
              <w:jc w:val="right"/>
            </w:pPr>
            <w:r>
              <w:t xml:space="preserve">237</w:t>
            </w:r>
          </w:p>
        </w:tc>
        <w:tc>
          <w:p>
            <w:pPr>
              <w:pStyle w:val="Compact"/>
              <w:jc w:val="right"/>
            </w:pPr>
            <w:r>
              <w:t xml:space="preserve">10</w:t>
            </w:r>
          </w:p>
        </w:tc>
        <w:tc>
          <w:p>
            <w:pPr>
              <w:pStyle w:val="Compact"/>
              <w:jc w:val="right"/>
            </w:pPr>
            <w:r>
              <w:t xml:space="preserve">61</w:t>
            </w:r>
          </w:p>
        </w:tc>
        <w:tc>
          <w:p>
            <w:pPr>
              <w:pStyle w:val="Compact"/>
              <w:jc w:val="right"/>
            </w:pPr>
            <w:r>
              <w:t xml:space="preserve">53</w:t>
            </w:r>
          </w:p>
        </w:tc>
        <w:tc>
          <w:p>
            <w:pPr>
              <w:pStyle w:val="Compact"/>
              <w:jc w:val="right"/>
            </w:pPr>
            <w:r>
              <w:t xml:space="preserve">96.0</w:t>
            </w:r>
          </w:p>
        </w:tc>
        <w:tc>
          <w:p>
            <w:pPr>
              <w:pStyle w:val="Compact"/>
              <w:jc w:val="right"/>
            </w:pPr>
            <w:r>
              <w:t xml:space="preserve">1.1</w:t>
            </w:r>
          </w:p>
        </w:tc>
        <w:tc>
          <w:p>
            <w:pPr>
              <w:pStyle w:val="Compact"/>
              <w:jc w:val="right"/>
            </w:pPr>
            <w:r>
              <w:t xml:space="preserve">2.0e-02</w:t>
            </w:r>
          </w:p>
        </w:tc>
        <w:tc>
          <w:p>
            <w:pPr>
              <w:pStyle w:val="Compact"/>
              <w:jc w:val="right"/>
            </w:pPr>
            <w:r>
              <w:t xml:space="preserve">31.0</w:t>
            </w:r>
          </w:p>
        </w:tc>
        <w:tc>
          <w:p>
            <w:pPr>
              <w:pStyle w:val="Compact"/>
              <w:jc w:val="right"/>
            </w:pPr>
            <w:r>
              <w:t xml:space="preserve">45.1</w:t>
            </w:r>
          </w:p>
        </w:tc>
        <w:tc>
          <w:p>
            <w:pPr>
              <w:pStyle w:val="Compact"/>
              <w:jc w:val="right"/>
            </w:pPr>
            <w:r>
              <w:t xml:space="preserve">18.1</w:t>
            </w:r>
          </w:p>
        </w:tc>
        <w:tc>
          <w:p>
            <w:pPr>
              <w:pStyle w:val="Compact"/>
              <w:jc w:val="right"/>
            </w:pPr>
            <w:r>
              <w:t xml:space="preserve">1.6</w:t>
            </w:r>
          </w:p>
        </w:tc>
        <w:tc>
          <w:p>
            <w:pPr>
              <w:pStyle w:val="Compact"/>
              <w:jc w:val="right"/>
            </w:pPr>
            <w:r>
              <w:t xml:space="preserve">3.5</w:t>
            </w:r>
          </w:p>
        </w:tc>
        <w:tc>
          <w:p>
            <w:pPr>
              <w:pStyle w:val="Compact"/>
              <w:jc w:val="right"/>
            </w:pPr>
            <w:r>
              <w:t xml:space="preserve">0.0</w:t>
            </w:r>
          </w:p>
        </w:tc>
        <w:tc>
          <w:p>
            <w:pPr>
              <w:pStyle w:val="Compact"/>
              <w:jc w:val="right"/>
            </w:pPr>
            <w:r>
              <w:t xml:space="preserve">0.7</w:t>
            </w:r>
          </w:p>
        </w:tc>
        <w:tc>
          <w:p>
            <w:pPr>
              <w:pStyle w:val="Compact"/>
              <w:jc w:val="right"/>
            </w:pPr>
            <w:r>
              <w:t xml:space="preserve">0.0</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pPr>
        <w:pStyle w:val="BodyText"/>
      </w:pPr>
      <w:r>
        <w:t xml:space="preserve"> </w:t>
      </w:r>
    </w:p>
    <w:p>
      <w:pPr>
        <w:pStyle w:val="BodyText"/>
      </w:pPr>
      <w:r>
        <w:t xml:space="preserve">Samples were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pPr>
        <w:pStyle w:val="BodyText"/>
      </w:pPr>
      <w:r>
        <w:t xml:space="preserve"> </w:t>
      </w:r>
    </w:p>
    <w:p>
      <w:pPr>
        <w:pStyle w:val="BodyText"/>
      </w:pPr>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w:t>
      </w:r>
      <m:oMath>
        <m:sSup>
          <m:e>
            <m:r>
              <m:t>​</m:t>
            </m:r>
          </m:e>
          <m:sup>
            <m:r>
              <m:t>∘</m:t>
            </m:r>
          </m:sup>
        </m:sSup>
      </m:oMath>
      <w:r>
        <w:t xml:space="preserve"> </w:t>
      </w:r>
      <w:r>
        <w:t xml:space="preserve">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and when a siphon bottle was submerged below this filling height a sample was collected in less than 60 seconds. To ensure a water-tight seal around the inlet and exhaust tubes, marine epoxy was applied to the outside of siphon caps and inert silicone sealant was added to the inside of lids. The siphon samplers collected river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Heading5"/>
      </w:pPr>
      <w:bookmarkStart w:id="44" w:name="siphon-sampler-assumptions"/>
      <w:r>
        <w:t xml:space="preserve">Siphon sampler assumptions</w:t>
      </w:r>
      <w:bookmarkEnd w:id="44"/>
    </w:p>
    <w:p>
      <w:pPr>
        <w:pStyle w:val="FirstParagraph"/>
      </w:pPr>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 Foundational Results).</w:t>
      </w:r>
    </w:p>
    <w:p>
      <w:pPr>
        <w:pStyle w:val="BodyText"/>
      </w:pPr>
      <w:r>
        <w:t xml:space="preserve"> </w:t>
      </w:r>
    </w:p>
    <w:p>
      <w:pPr>
        <w:pStyle w:val="Heading5"/>
      </w:pPr>
      <w:bookmarkStart w:id="45" w:name="sampling-rack-hold-time-experiments"/>
      <w:r>
        <w:t xml:space="preserve">Sampling rack hold-time experiments</w:t>
      </w:r>
      <w:bookmarkEnd w:id="45"/>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2018/2019 winter snow prevented access to sites). Hold-time experiments were conducted at the Tunnel site to assess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(n =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 Foundation Results).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w:t>
      </w:r>
      <w:r>
        <w:t xml:space="preserve"> </w:t>
      </w:r>
      <w:r>
        <w:rPr>
          <w:i/>
          <w:b/>
        </w:rPr>
        <w:t xml:space="preserve">(Appendix ###)</w:t>
      </w:r>
      <w:r>
        <w:t xml:space="preserve">.</w:t>
      </w:r>
    </w:p>
    <w:p>
      <w:pPr>
        <w:pStyle w:val="BodyText"/>
      </w:pPr>
      <w:r>
        <w:t xml:space="preserve"> </w:t>
      </w:r>
    </w:p>
    <w:p>
      <w:pPr>
        <w:pStyle w:val="Heading3"/>
      </w:pPr>
      <w:bookmarkStart w:id="46" w:name="laboratory-analyses-of-water-samples"/>
      <w:r>
        <w:t xml:space="preserve">Laboratory analyses of water samples</w:t>
      </w:r>
      <w:bookmarkEnd w:id="46"/>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7" w:name="quantifying-doc-dissolved-organic-carbon"/>
      <w:r>
        <w:t xml:space="preserve">Quantifying DOC (dissolved organic carbon)</w:t>
      </w:r>
      <w:bookmarkEnd w:id="47"/>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8" w:name="sample-preparation"/>
      <w:r>
        <w:t xml:space="preserve">Sample preparation</w:t>
      </w:r>
      <w:bookmarkEnd w:id="48"/>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9" w:name="instrumental-analysis-methods"/>
      <w:r>
        <w:t xml:space="preserve">Instrumental analysis methods</w:t>
      </w:r>
      <w:bookmarkEnd w:id="49"/>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diluted to approximately 3-8 mg/L, catalog No.LC129107, labchem.com).</w:t>
      </w:r>
    </w:p>
    <w:p>
      <w:pPr>
        <w:pStyle w:val="BodyText"/>
      </w:pPr>
      <w:r>
        <w:t xml:space="preserve"> </w:t>
      </w:r>
    </w:p>
    <w:p>
      <w:pPr>
        <w:pStyle w:val="Heading4"/>
      </w:pPr>
      <w:bookmarkStart w:id="50" w:name="Xa19b3801762e0a6c0f55232717f8102b4711780"/>
      <w:r>
        <w:t xml:space="preserve">Characterizing NOM (natural organic matter)</w:t>
      </w:r>
      <w:bookmarkEnd w:id="50"/>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pPr>
        <w:pStyle w:val="BodyText"/>
      </w:pPr>
      <w:r>
        <w:t xml:space="preserve"> </w:t>
      </w:r>
    </w:p>
    <w:p>
      <w:pPr>
        <w:pStyle w:val="Heading5"/>
      </w:pPr>
      <w:bookmarkStart w:id="51" w:name="sample-analysis"/>
      <w:r>
        <w:t xml:space="preserve">Sample analysis</w:t>
      </w:r>
      <w:bookmarkEnd w:id="51"/>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2" w:name="instrument-and-data-handling"/>
      <w:r>
        <w:t xml:space="preserve">Instrument and data handling</w:t>
      </w:r>
      <w:bookmarkEnd w:id="52"/>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DOC estimates were evaluated in comparison to NPOC as an indicator of molecular changes, otherwise specific absorbance coefficients (SAC, m</w:t>
      </w:r>
      <w:r>
        <w:rPr>
          <w:vertAlign w:val="superscript"/>
        </w:rPr>
        <w:t xml:space="preserve">-1</w:t>
      </w:r>
      <w:r>
        <w:t xml:space="preserve">) were used to assess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3" w:name="spectral-indices-of-nom-character"/>
      <w:r>
        <w:t xml:space="preserve">Spectral indices of NOM character</w:t>
      </w:r>
      <w:bookmarkEnd w:id="53"/>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w:t>
      </w:r>
      <w:r>
        <w:t xml:space="preserve"> </w:t>
      </w:r>
      <w:r>
        <w:rPr>
          <w:i/>
        </w:rPr>
        <w:t xml:space="preserve">Appendix ####</w:t>
      </w:r>
      <w:r>
        <w:t xml:space="preserve">) and the one most correlated to BDP-FP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which is inversely related to aromaticity and molecular size of aquatic humic solutes (Peuravuori and Pihlaja 1997; Helms et al. 2008), 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but seasonal delineation can be nebulous. Here,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conditions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stream response substantial enough for Rack sampler collection.</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in which threshold rain and inter-event period parameters were tuned to find conditions that defined events which aligned with stream response across the Leech WSA. Refined events were used to help distinguish the start and end of wet and dry seasons, 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chapter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br/>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3</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3: CRD fire weather station (FWx) summary of features</w:t>
      </w:r>
    </w:p>
    <w:tbl>
      <w:tblPr>
        <w:tblStyle w:val="Table"/>
        <w:tblW w:type="pct" w:w="5000.0"/>
        <w:tblLook w:firstRow="1"/>
        <w:tblCaption w:val="Table 3: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(Table</w:t>
      </w:r>
      <w:r>
        <w:t xml:space="preserve"> </w:t>
      </w:r>
      <w:r>
        <w:t xml:space="preserve">4</w:t>
      </w:r>
      <w:r>
        <w:t xml:space="preserve">, Figure</w:t>
      </w:r>
      <w:r>
        <w:t xml:space="preserve"> </w:t>
      </w:r>
      <w:r>
        <w:t xml:space="preserve">4</w:t>
      </w:r>
      <w:r>
        <w:t xml:space="preserve">,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4: Average Weather Data from Chris Creek and Martin’s Gulch Fire-weather Stations in Leech Water Supply Area in 2018, 2019, and the period of 2020 included in this project</w:t>
      </w:r>
    </w:p>
    <w:tbl>
      <w:tblPr>
        <w:tblStyle w:val="Table"/>
        <w:tblW w:type="pct" w:w="4999.999999999999"/>
        <w:tblLook w:firstRow="1"/>
        <w:tblCaption w:val="Table 4: Average Weather Data from Chris Creek and Martin’s Gulch Fire-weather Stations in Leech Water Supply Area in 2018, 2019, and the period of 2020 included in this project"/>
      </w:tblPr>
      <w:tblGrid>
        <w:gridCol w:w="624"/>
        <w:gridCol w:w="1056"/>
        <w:gridCol w:w="864"/>
        <w:gridCol w:w="1248"/>
        <w:gridCol w:w="960"/>
        <w:gridCol w:w="1056"/>
        <w:gridCol w:w="1056"/>
        <w:gridCol w:w="1056"/>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depth, mean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(±°C)</w:t>
            </w:r>
          </w:p>
        </w:tc>
        <w:tc>
          <w:tcPr>
            <w:tcBorders>
              <w:bottom w:val="single"/>
            </w:tcBorders>
            <w:vAlign w:val="bottom"/>
          </w:tcPr>
          <w:p>
            <w:pPr>
              <w:pStyle w:val="Compact"/>
              <w:jc w:val="right"/>
            </w:pPr>
            <w:r>
              <w:t xml:space="preserve">min. temp., mean (°C)</w:t>
            </w:r>
          </w:p>
        </w:tc>
        <w:tc>
          <w:tcPr>
            <w:tcBorders>
              <w:bottom w:val="single"/>
            </w:tcBorders>
            <w:vAlign w:val="bottom"/>
          </w:tcPr>
          <w:p>
            <w:pPr>
              <w:pStyle w:val="Compact"/>
              <w:jc w:val="right"/>
            </w:pPr>
            <w:r>
              <w:t xml:space="preserve">max. temp., mean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560 m a.s.l) and Martin’s Gulch (512 m a.s.l)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(560 m a.s.l) and Martin’s Gulch (512 m a.s.l) fire-weather stations in the Leech Water Supply Area, where the highlighted section indicates the study period.</w:t>
      </w:r>
    </w:p>
    <w:p>
      <w:pPr>
        <w:pStyle w:val="BodyText"/>
      </w:pPr>
      <w:r>
        <w:t xml:space="preserve"> </w:t>
      </w:r>
    </w:p>
    <w:p>
      <w:pPr>
        <w:pStyle w:val="Heading4"/>
      </w:pPr>
      <w:bookmarkStart w:id="58" w:name="seasonal-delineation"/>
      <w:r>
        <w:t xml:space="preserve">Seasonal delineation</w:t>
      </w:r>
      <w:bookmarkEnd w:id="58"/>
    </w:p>
    <w:p>
      <w:pPr>
        <w:pStyle w:val="FirstParagraph"/>
      </w:pPr>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rain events were precipitation accumulating to 50 mm or more with a period of at least 14 hours between 50 mm rain accumulation (Table</w:t>
      </w:r>
      <w:r>
        <w:t xml:space="preserve"> </w:t>
      </w:r>
      <w:r>
        <w:t xml:space="preserve">5</w:t>
      </w:r>
      <w:r>
        <w:t xml:space="preserve">).</w:t>
      </w:r>
    </w:p>
    <w:p>
      <w:pPr>
        <w:pStyle w:val="BodyText"/>
      </w:pPr>
      <w:r>
        <w:t xml:space="preserve"> </w:t>
      </w:r>
    </w:p>
    <w:p>
      <w:pPr>
        <w:pStyle w:val="TableCaption"/>
      </w:pPr>
      <w:r>
        <w:t xml:space="preserve">Table 5: Rain Events Defined by Vertical Rack Sample Collection (corresponding to a threshold of 50 mm accumulation with 14-hour inter-event period)</w:t>
      </w:r>
    </w:p>
    <w:tbl>
      <w:tblPr>
        <w:tblStyle w:val="Table"/>
        <w:tblW w:type="pct" w:w="5000.0"/>
        <w:tblLook w:firstRow="1"/>
        <w:tblCaption w:val="Table 5: Rain Events Defined by Vertical Rack Sample Collection (corresponding to a threshold of 50 mm accumulation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and the period from late January (event 8, Table</w:t>
      </w:r>
      <w:r>
        <w:t xml:space="preserve"> </w:t>
      </w:r>
      <w:r>
        <w:t xml:space="preserve">5</w:t>
      </w:r>
      <w:r>
        <w:t xml:space="preserve">) to mid-May had streamflow changes governed by snowmelt rather than rainfall. The 2019 dry sampling season spanned from mid-May to late-September, and the 2019/2020 wet season began mid-September (event 9, Table</w:t>
      </w:r>
      <w:r>
        <w:t xml:space="preserve"> </w:t>
      </w:r>
      <w:r>
        <w:t xml:space="preserve">5</w:t>
      </w:r>
      <w:r>
        <w:t xml:space="preserve">) and extended to the end of the field study period (Feb 20, 2020).</w:t>
      </w:r>
    </w:p>
    <w:p>
      <w:pPr>
        <w:pStyle w:val="BodyText"/>
      </w:pPr>
      <w:r>
        <w:t xml:space="preserve"> </w:t>
      </w:r>
    </w:p>
    <w:p>
      <w:pPr>
        <w:pStyle w:val="CaptionedFigure"/>
      </w:pPr>
      <w:r>
        <w:drawing>
          <wp:inline>
            <wp:extent cx="5943600" cy="7641771"/>
            <wp:effectExtent b="0" l="0" r="0" t="0"/>
            <wp:docPr descr="Figure 5:  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 ‘first flush’ period indicates the first event and beginning of the 2019/2020 wet seas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w:t>
      </w:r>
      <w:r>
        <w:t xml:space="preserve"> </w:t>
      </w:r>
      <w:r>
        <w:t xml:space="preserve">‘</w:t>
      </w:r>
      <w:r>
        <w:t xml:space="preserve">first flush</w:t>
      </w:r>
      <w:r>
        <w:t xml:space="preserve">’</w:t>
      </w:r>
      <w:r>
        <w:t xml:space="preserve"> </w:t>
      </w:r>
      <w:r>
        <w:t xml:space="preserve">period indicates the first event and beginning of the 2019/2020 wet season.</w:t>
      </w:r>
    </w:p>
    <w:p>
      <w:pPr>
        <w:pStyle w:val="BodyText"/>
      </w:pPr>
      <w:r>
        <w:t xml:space="preserve"> </w:t>
      </w:r>
    </w:p>
    <w:p>
      <w:pPr>
        <w:pStyle w:val="Heading4"/>
      </w:pPr>
      <w:bookmarkStart w:id="60" w:name="nom-character-sac254-rather-than-suva254"/>
      <w:r>
        <w:t xml:space="preserve">NOM character: SAC</w:t>
      </w:r>
      <w:r>
        <w:rPr>
          <w:vertAlign w:val="subscript"/>
        </w:rPr>
        <w:t xml:space="preserve">254</w:t>
      </w:r>
      <w:r>
        <w:t xml:space="preserve"> </w:t>
      </w:r>
      <w:r>
        <w:t xml:space="preserve">rather than SUVA</w:t>
      </w:r>
      <w:r>
        <w:rPr>
          <w:vertAlign w:val="subscript"/>
        </w:rPr>
        <w:t xml:space="preserve">254</w:t>
      </w:r>
      <w:bookmarkEnd w:id="60"/>
    </w:p>
    <w:p>
      <w:pPr>
        <w:pStyle w:val="FirstParagraph"/>
      </w:pPr>
      <w:r>
        <w:t xml:space="preserve">Comparison between disinfection byproduct formation potential (BDP-FP) with DOC, SUVA</w:t>
      </w:r>
      <w:r>
        <w:rPr>
          <w:vertAlign w:val="subscript"/>
        </w:rPr>
        <w:t xml:space="preserve">254</w:t>
      </w:r>
      <w:r>
        <w:t xml:space="preserve"> </w:t>
      </w:r>
      <w:r>
        <w:t xml:space="preserve">and SAC</w:t>
      </w:r>
      <w:r>
        <w:rPr>
          <w:vertAlign w:val="subscript"/>
        </w:rPr>
        <w:t xml:space="preserve">254</w:t>
      </w:r>
      <w:r>
        <w:t xml:space="preserve"> </w:t>
      </w:r>
      <w:r>
        <w:t xml:space="preserve">(Appendix ####################) showed that SAC</w:t>
      </w:r>
      <w:r>
        <w:rPr>
          <w:vertAlign w:val="subscript"/>
        </w:rPr>
        <w:t xml:space="preserve">254</w:t>
      </w:r>
      <w:r>
        <w:t xml:space="preserve"> </w:t>
      </w:r>
      <w:r>
        <w:t xml:space="preserve">was a better predictor of DBP-FPs and therefor SAC</w:t>
      </w:r>
      <w:r>
        <w:rPr>
          <w:vertAlign w:val="subscript"/>
        </w:rPr>
        <w:t xml:space="preserve">254</w:t>
      </w:r>
      <w:r>
        <w:t xml:space="preserve"> </w:t>
      </w:r>
      <w:r>
        <w:t xml:space="preserve">was focused on as an indicator of NOM aromaticity and reactivity and SUVA</w:t>
      </w:r>
      <w:r>
        <w:rPr>
          <w:vertAlign w:val="subscript"/>
        </w:rPr>
        <w:t xml:space="preserve">254</w:t>
      </w:r>
      <w:r>
        <w:t xml:space="preserve"> </w:t>
      </w:r>
      <w:r>
        <w:t xml:space="preserve">was largely ommitted from resuls.</w:t>
      </w:r>
    </w:p>
    <w:p>
      <w:pPr>
        <w:pStyle w:val="BodyText"/>
      </w:pPr>
      <w:r>
        <w:t xml:space="preserve"> </w:t>
      </w:r>
    </w:p>
    <w:p>
      <w:pPr>
        <w:pStyle w:val="Heading4"/>
      </w:pPr>
      <w:bookmarkStart w:id="61" w:name="vertical-rack-sampling-quality-control"/>
      <w:r>
        <w:t xml:space="preserve">Vertical Rack sampling quality control</w:t>
      </w:r>
      <w:bookmarkEnd w:id="61"/>
    </w:p>
    <w:p>
      <w:pPr>
        <w:pStyle w:val="Heading5"/>
      </w:pPr>
      <w:bookmarkStart w:id="62" w:name="assumptions-of-mixing"/>
      <w:r>
        <w:t xml:space="preserve">Assumptions of mixing</w:t>
      </w:r>
      <w:bookmarkEnd w:id="62"/>
    </w:p>
    <w:p>
      <w:pPr>
        <w:pStyle w:val="FirstParagraph"/>
      </w:pPr>
      <w:r>
        <w:t xml:space="preserve">Trail cameras were installed at four sites (data not included) and observation of streamflow during Rack sample collection showed highly turbulent flows, thus the assumption of well-mixed water was accepted.</w:t>
      </w:r>
    </w:p>
    <w:p>
      <w:pPr>
        <w:pStyle w:val="BodyText"/>
      </w:pPr>
      <w:r>
        <w:t xml:space="preserve"> </w:t>
      </w:r>
    </w:p>
    <w:p>
      <w:pPr>
        <w:pStyle w:val="BodyText"/>
      </w:pPr>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pPr>
        <w:pStyle w:val="BodyText"/>
      </w:pPr>
      <w:r>
        <w:t xml:space="preserve"> </w:t>
      </w:r>
    </w:p>
    <w:p>
      <w:pPr>
        <w:pStyle w:val="Heading5"/>
      </w:pPr>
      <w:bookmarkStart w:id="63" w:name="hold-time-experiments"/>
      <w:r>
        <w:t xml:space="preserve">Hold-time experiments</w:t>
      </w:r>
      <w:bookmarkEnd w:id="63"/>
    </w:p>
    <w:p>
      <w:pPr>
        <w:pStyle w:val="FirstParagraph"/>
      </w:pPr>
      <w:r>
        <w:t xml:space="preserve">Hold-time experiments included three sets of 10 samples, each set compared 5 samples held on the Vertical Rack to 5 replicate samples analyzed immediately after collection (</w:t>
      </w:r>
      <w:r>
        <w:t xml:space="preserve">“</w:t>
      </w:r>
      <w:r>
        <w:t xml:space="preserve">fresh</w:t>
      </w:r>
      <w:r>
        <w:t xml:space="preserve">”</w:t>
      </w:r>
      <w:r>
        <w:t xml:space="preserve">). For each set, the number of days that samples remained held on the Rack were used with air temperatures during the hold-period to assess Rack sample stability (Figure</w:t>
      </w:r>
      <w:r>
        <w:t xml:space="preserve"> </w:t>
      </w:r>
      <w:r>
        <w:t xml:space="preserve">6</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5046020"/>
            <wp:effectExtent b="0" l="0" r="0" t="0"/>
            <wp:docPr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4"/>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Air temperature during vertical rack hold-time experiments. Red horizontal lines indicate the 0-7°C range of a typical laboratory refrigerator and dashed vertical lines separate the three sets of hold-time experiment samples including the period between collection of</w:t>
      </w:r>
      <w:r>
        <w:t xml:space="preserve"> </w:t>
      </w:r>
      <w:r>
        <w:t xml:space="preserve">‘</w:t>
      </w:r>
      <w:r>
        <w:t xml:space="preserve">fresh</w:t>
      </w:r>
      <w:r>
        <w:t xml:space="preserve">’</w:t>
      </w:r>
      <w:r>
        <w:t xml:space="preserve"> </w:t>
      </w:r>
      <w:r>
        <w:t xml:space="preserve">samples to the retrieval of</w:t>
      </w:r>
      <w:r>
        <w:t xml:space="preserve"> </w:t>
      </w:r>
      <w:r>
        <w:t xml:space="preserve">‘</w:t>
      </w:r>
      <w:r>
        <w:t xml:space="preserve">held</w:t>
      </w:r>
      <w:r>
        <w:t xml:space="preserve">’</w:t>
      </w:r>
      <w:r>
        <w:t xml:space="preserve"> </w:t>
      </w:r>
      <w:r>
        <w:t xml:space="preserve">(Rack) samples.</w:t>
      </w:r>
    </w:p>
    <w:p>
      <w:pPr>
        <w:pStyle w:val="BodyText"/>
      </w:pPr>
      <w:r>
        <w:t xml:space="preserve"> </w:t>
      </w:r>
    </w:p>
    <w:p>
      <w:pPr>
        <w:pStyle w:val="BodyText"/>
      </w:pPr>
      <w:r>
        <w:t xml:space="preserve">All samples were analyzed to quantify DOC and characterized NOM properties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For a wider margin of error, a 90% confidence level (rather than 95% or 99%) was used to evaluate comparisons between fresh and held sample results (Table</w:t>
      </w:r>
      <w:r>
        <w:t xml:space="preserve"> </w:t>
      </w:r>
      <w:r>
        <w:t xml:space="preserve">6</w:t>
      </w:r>
      <w:r>
        <w:t xml:space="preserve">).</w:t>
      </w:r>
    </w:p>
    <w:p>
      <w:pPr>
        <w:pStyle w:val="BodyText"/>
      </w:pPr>
      <w:r>
        <w:t xml:space="preserve"> </w:t>
      </w:r>
    </w:p>
    <w:p>
      <w:pPr>
        <w:pStyle w:val="TableCaption"/>
      </w:pPr>
      <w:r>
        <w:t xml:space="preserve">Table 6: Results comparing three Vertical Rack hold-time experiment sets for sample stability in the field</w:t>
      </w:r>
    </w:p>
    <w:tbl>
      <w:tblPr>
        <w:tblStyle w:val="Table"/>
        <w:tblW w:type="pct" w:w="5000.0"/>
        <w:tblLook w:firstRow="1"/>
        <w:tblCaption w:val="Table 6: Results comparing three Vertical Rack hold-time experiment sets for sample stability in the field"/>
      </w:tblPr>
      <w:tblGrid>
        <w:gridCol w:w="238"/>
        <w:gridCol w:w="595"/>
        <w:gridCol w:w="595"/>
        <w:gridCol w:w="893"/>
        <w:gridCol w:w="833"/>
        <w:gridCol w:w="1190"/>
        <w:gridCol w:w="1131"/>
        <w:gridCol w:w="1250"/>
        <w:gridCol w:w="1190"/>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set-A, where mean DOC concentration was 45% lower in the held samples compared to the fresh grab samples.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Samples collected for hold-time set-A were DOC-rich</w:t>
      </w:r>
      <w:r>
        <w:t xml:space="preserve"> </w:t>
      </w:r>
      <w:r>
        <w:t xml:space="preserve">“</w:t>
      </w:r>
      <w:r>
        <w:t xml:space="preserve">first flush</w:t>
      </w:r>
      <w:r>
        <w:t xml:space="preserve">”</w:t>
      </w:r>
      <w:r>
        <w:t xml:space="preserve"> </w:t>
      </w:r>
      <w:r>
        <w:t xml:space="preserve">samples (i.e. the first sampling event of a wet season), and the Rack samples were held for 11 days at average temperature of 7° C (slightly above laboratory refrigerator temperatures).</w:t>
      </w:r>
    </w:p>
    <w:p>
      <w:pPr>
        <w:pStyle w:val="BodyText"/>
      </w:pPr>
      <w:r>
        <w:t xml:space="preserve"> </w:t>
      </w:r>
    </w:p>
    <w:p>
      <w:pPr>
        <w:pStyle w:val="BodyText"/>
      </w:pPr>
      <w:r>
        <w:t xml:space="preserve">Set-B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7</w:t>
      </w:r>
      <w:r>
        <w:t xml:space="preserve">, Table</w:t>
      </w:r>
      <w:r>
        <w:t xml:space="preserve"> </w:t>
      </w:r>
      <w:r>
        <w:t xml:space="preserve">6</w:t>
      </w:r>
      <w:r>
        <w:t xml:space="preserve">) there was not truly a reliable change in SAC</w:t>
      </w:r>
      <w:r>
        <w:rPr>
          <w:vertAlign w:val="subscript"/>
        </w:rPr>
        <w:t xml:space="preserve">254</w:t>
      </w:r>
      <w:r>
        <w:t xml:space="preserve"> </w:t>
      </w:r>
      <w:r>
        <w:t xml:space="preserve">for hold-time set-B.</w:t>
      </w:r>
    </w:p>
    <w:p>
      <w:pPr>
        <w:pStyle w:val="BodyText"/>
      </w:pPr>
      <w:r>
        <w:t xml:space="preserve"> </w:t>
      </w:r>
    </w:p>
    <w:p>
      <w:pPr>
        <w:pStyle w:val="BodyText"/>
      </w:pPr>
      <w:r>
        <w:t xml:space="preserve">Hold-time set-C included samples held for 34 days at an average of 4.4° C, including a period of sub-zero temperatures. While set-C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set-C samples had greater variability for both all variables compared to the fresh sample counterparts (Figure</w:t>
      </w:r>
      <w:r>
        <w:t xml:space="preserve"> </w:t>
      </w:r>
      <w:r>
        <w:t xml:space="preserve">7</w:t>
      </w:r>
      <w:r>
        <w:t xml:space="preserve">).</w:t>
      </w:r>
    </w:p>
    <w:p>
      <w:pPr>
        <w:pStyle w:val="BodyText"/>
      </w:pPr>
      <w:r>
        <w:t xml:space="preserve"> </w:t>
      </w:r>
    </w:p>
    <w:p>
      <w:pPr>
        <w:pStyle w:val="CaptionedFigure"/>
      </w:pPr>
      <w:r>
        <w:drawing>
          <wp:inline>
            <wp:extent cx="5504749" cy="4587290"/>
            <wp:effectExtent b="0" l="0" r="0" t="0"/>
            <wp:docPr descr="Figure 7: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6" w:name="foundational-results-summary"/>
      <w:r>
        <w:t xml:space="preserve">Foundational Results summary</w:t>
      </w:r>
      <w:bookmarkEnd w:id="66"/>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unacceptable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Heading2"/>
      </w:pPr>
      <w:bookmarkStart w:id="67" w:name="X25af521a3909d0d4f6241ff7ec73cbcf47cf7ad"/>
      <w:r>
        <w:t xml:space="preserve">Spatial and Temporal Patterns in DOC &amp; NOM across Greater Victoria Water Supply Areas</w:t>
      </w:r>
      <w:bookmarkEnd w:id="67"/>
    </w:p>
    <w:p>
      <w:pPr>
        <w:pStyle w:val="FirstParagraph"/>
      </w:pPr>
      <w:r>
        <w:t xml:space="preserve"> </w:t>
      </w:r>
    </w:p>
    <w:p>
      <w:pPr>
        <w:pStyle w:val="Heading3"/>
      </w:pPr>
      <w:bookmarkStart w:id="68" w:name="synopsis"/>
      <w:r>
        <w:t xml:space="preserve">Synopsis</w:t>
      </w:r>
      <w:bookmarkEnd w:id="68"/>
    </w:p>
    <w:p>
      <w:pPr>
        <w:pStyle w:val="FirstParagraph"/>
      </w:pPr>
      <w:r>
        <w:t xml:space="preserve">The methods defined in Chapter 2 were used to collect and analyze surface water samples with the objective of describing spatial and temporal patterns and variation of dissolved organic carbon (DOC) concentrations and natural organic matter (NOM) character across the Greater Victoria water supply area (GVWSA, refer to Chapter 2, Figure</w:t>
      </w:r>
      <w:r>
        <w:t xml:space="preserve"> </w:t>
      </w:r>
      <w:r>
        <w:t xml:space="preserve">2</w:t>
      </w:r>
      <w:r>
        <w:t xml:space="preserve"> </w:t>
      </w:r>
      <w:r>
        <w:t xml:space="preserve">for map). Additionally, sampling results were interpreted with the goal of clarifying the influence of seasonality on concentration of DOC and character of NOM.</w:t>
      </w:r>
    </w:p>
    <w:p>
      <w:pPr>
        <w:pStyle w:val="BodyText"/>
      </w:pPr>
      <w:r>
        <w:t xml:space="preserve"> </w:t>
      </w:r>
    </w:p>
    <w:p>
      <w:pPr>
        <w:pStyle w:val="BodyText"/>
      </w:pPr>
      <w:r>
        <w:t xml:space="preserve">DOC and NOM results were evaluated by comparing results from low- to high-order streams; between the Leech and Sooke portions of the water supply area (WSA); by sample method (standard Grab versus Vertical Rack); and across seasons.</w:t>
      </w:r>
    </w:p>
    <w:p>
      <w:pPr>
        <w:pStyle w:val="BodyText"/>
      </w:pPr>
      <w:r>
        <w:t xml:space="preserve"> </w:t>
      </w:r>
    </w:p>
    <w:p>
      <w:pPr>
        <w:pStyle w:val="Heading3"/>
      </w:pPr>
      <w:bookmarkStart w:id="69" w:name="sampling-results"/>
      <w:r>
        <w:t xml:space="preserve">Sampling Results</w:t>
      </w:r>
      <w:bookmarkEnd w:id="69"/>
    </w:p>
    <w:p>
      <w:pPr>
        <w:pStyle w:val="FirstParagraph"/>
      </w:pPr>
      <w:r>
        <w:t xml:space="preserve">From October 2018 to February 2020, across the GVWSA 426 river samples were collected and analyzed for DOC, and 318 of those samples were analyzed for NOM by UV-Vis (Table</w:t>
      </w:r>
      <w:r>
        <w:t xml:space="preserve"> </w:t>
      </w:r>
      <w:r>
        <w:t xml:space="preserve">7</w:t>
      </w:r>
      <w:r>
        <w:t xml:space="preserve">). Fewer samples were analyzed for UV-Vis properties than for DOC concentration due to method evolution at the start of the project and instrument-sharing limitations. Of the samples collected and analyzed, DOC data were filtered and reduced by 9.2% (to 387 samples) during Hold-time quality control checks (described in Chapter 2) and UV-Vis data were reduced by 19.5% (to 256 samples). Quality control resulted in a 9% reduction in UV-Vis data and an additional 10.5% data loss was unfortunately caused during instrument maintenance. Analysis of calibration verification standards resulted in an average analytical accuracy of 10.8% (n=20).</w:t>
      </w:r>
    </w:p>
    <w:p>
      <w:pPr>
        <w:pStyle w:val="BodyText"/>
      </w:pPr>
      <w:r>
        <w:t xml:space="preserve"> </w:t>
      </w:r>
    </w:p>
    <w:p>
      <w:pPr>
        <w:pStyle w:val="TableCaption"/>
      </w:pPr>
      <w:r>
        <w:t xml:space="preserve">Table 7: Summary of Samples Collected and Number Included in Data Analysis</w:t>
      </w:r>
    </w:p>
    <w:tbl>
      <w:tblPr>
        <w:tblStyle w:val="Table"/>
        <w:tblW w:type="pct" w:w="5000.0"/>
        <w:tblLook w:firstRow="1"/>
        <w:tblCaption w:val="Table 7: Summary of Samples Collected and Number Included in Data Analysis"/>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 </w:t>
      </w:r>
    </w:p>
    <w:p>
      <w:pPr>
        <w:pStyle w:val="BodyText"/>
      </w:pPr>
      <w:r>
        <w:t xml:space="preserve">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4"/>
      </w:pPr>
      <w:bookmarkStart w:id="70" w:name="spatial-patterns-in-doc-nom"/>
      <w:r>
        <w:t xml:space="preserve">Spatial patterns in DOC &amp; NOM</w:t>
      </w:r>
      <w:bookmarkEnd w:id="70"/>
    </w:p>
    <w:p>
      <w:pPr>
        <w:pStyle w:val="FirstParagraph"/>
      </w:pPr>
      <w:r>
        <w:t xml:space="preserve">From 366 quality-controlled river water samples collected over 16 months, DOC ranged from 1.6 to 19.1 mg/L (5.7 mg/L median) with mean DOC of 6.1 ± 2.9 mg/L overall. The relative standard deviation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sites (means of 9.9 mg/L and 9.7 mg/L,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though their means were not unusually low (5.4 mg/L and 4.8 mg/L, respectively) compared to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 xml:space="preserve">2</w:t>
      </w:r>
      <w:r>
        <w:t xml:space="preserve">) with mean DOC of 5.8 ± 2.4 mg/L (41% RSD).</w:t>
      </w:r>
    </w:p>
    <w:p>
      <w:pPr>
        <w:pStyle w:val="BodyText"/>
      </w:pPr>
      <w:r>
        <w:t xml:space="preserve"> </w:t>
      </w:r>
    </w:p>
    <w:p>
      <w:pPr>
        <w:pStyle w:val="BodyText"/>
      </w:pPr>
      <w:r>
        <w:t xml:space="preserve">Mean DOC concentrations were similar between the Sooke WSA main tributaries of Judge crk (8.33 km</w:t>
      </w:r>
      <w:r>
        <w:rPr>
          <w:vertAlign w:val="superscript"/>
        </w:rPr>
        <w:t xml:space="preserve">2</w:t>
      </w:r>
      <w:r>
        <w:t xml:space="preserve"> </w:t>
      </w:r>
      <w:r>
        <w:t xml:space="preserve">sub-basin) and Rithet crk (mean DOC of 5.7 ± 1.1 mg/L and 5.4 ± 3.9 mg/L). Comparing these Sooke WSA main tributary sites to the future supplemental supply (Leech Tunnel site), mean DOC was similar among the three, but slightly higher in the Sooke WSA than at the Leech Tunnel (4.8 ± 1.8 mg/L). Overall, DOC concentrations decreased from low-order headwater streams to higher-order downstream sites (Table</w:t>
      </w:r>
      <w:r>
        <w:t xml:space="preserve"> </w:t>
      </w:r>
      <w:r>
        <w:t xml:space="preserve">8</w:t>
      </w:r>
      <w:r>
        <w:t xml:space="preserve">, Figure</w:t>
      </w:r>
      <w:r>
        <w:t xml:space="preserve"> </w:t>
      </w:r>
      <w:r>
        <w:t xml:space="preserve">8</w:t>
      </w:r>
      <w:r>
        <w:t xml:space="preserve">).</w:t>
      </w:r>
    </w:p>
    <w:p>
      <w:pPr>
        <w:pStyle w:val="BodyText"/>
      </w:pPr>
      <w:r>
        <w:t xml:space="preserve"> </w:t>
      </w:r>
    </w:p>
    <w:p>
      <w:pPr>
        <w:pStyle w:val="TableCaption"/>
      </w:pPr>
      <w:r>
        <w:t xml:space="preserve">Table 8: Dissolved Organic Carbon Concentrations (DOC) Across Twelve Synoptically Sampled Sites in the Greater Victoria Water Supply Area</w:t>
      </w:r>
    </w:p>
    <w:tbl>
      <w:tblPr>
        <w:tblStyle w:val="Table"/>
        <w:tblW w:type="pct" w:w="5000.0"/>
        <w:tblLook w:firstRow="1"/>
        <w:tblCaption w:val="Table 8: Dissolved Organic Carbon Concentrations (DOC) Across Twelve Synoptically Sampled Sites in the Greater Victoria Water Supply Area"/>
      </w:tblPr>
      <w:tblGrid>
        <w:gridCol w:w="617"/>
        <w:gridCol w:w="2314"/>
        <w:gridCol w:w="308"/>
        <w:gridCol w:w="822"/>
        <w:gridCol w:w="360"/>
        <w:gridCol w:w="925"/>
        <w:gridCol w:w="822"/>
        <w:gridCol w:w="925"/>
        <w:gridCol w:w="822"/>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Like DOC, there was an overall reduction in NOM aromaticity and/or molecular size from upstream to downstream sites (Figure</w:t>
      </w:r>
      <w:r>
        <w:t xml:space="preserve"> </w:t>
      </w:r>
      <w:r>
        <w:t xml:space="preserve">8</w:t>
      </w:r>
      <w:r>
        <w:t xml:space="preserve">). The absolute lowest measurement for NOM aromaticity occurred at the Cragg crk site (SAC</w:t>
      </w:r>
      <w:r>
        <w:rPr>
          <w:vertAlign w:val="subscript"/>
        </w:rPr>
        <w:t xml:space="preserve">254</w:t>
      </w:r>
      <w:r>
        <w:t xml:space="preserve"> </w:t>
      </w:r>
      <w:r>
        <w:t xml:space="preserve">4.69 m</w:t>
      </w:r>
      <w:r>
        <w:rPr>
          <w:vertAlign w:val="superscript"/>
        </w:rPr>
        <w:t xml:space="preserve">-1</w:t>
      </w:r>
      <w:r>
        <w:t xml:space="preserve">, E</w:t>
      </w:r>
      <w:r>
        <w:rPr>
          <w:vertAlign w:val="subscript"/>
        </w:rPr>
        <w:t xml:space="preserve">2</w:t>
      </w:r>
      <w:r>
        <w:t xml:space="preserve">:E</w:t>
      </w:r>
      <w:r>
        <w:rPr>
          <w:vertAlign w:val="subscript"/>
        </w:rPr>
        <w:t xml:space="preserve">3</w:t>
      </w:r>
      <w:r>
        <w:t xml:space="preserve"> </w:t>
      </w:r>
      <w:r>
        <w:t xml:space="preserve">of 5.03). Cragg crk had among the lowest mean aromaticity also, though it tied with Judge crk (mean E</w:t>
      </w:r>
      <w:r>
        <w:rPr>
          <w:vertAlign w:val="subscript"/>
        </w:rPr>
        <w:t xml:space="preserve">2</w:t>
      </w:r>
      <w:r>
        <w:t xml:space="preserve">:E</w:t>
      </w:r>
      <w:r>
        <w:rPr>
          <w:vertAlign w:val="subscript"/>
        </w:rPr>
        <w:t xml:space="preserve">3</w:t>
      </w:r>
      <w:r>
        <w:t xml:space="preserve"> </w:t>
      </w:r>
      <w:r>
        <w:t xml:space="preserve">of 4.59), which were very close to Lazar crk (mean E</w:t>
      </w:r>
      <w:r>
        <w:rPr>
          <w:vertAlign w:val="subscript"/>
        </w:rPr>
        <w:t xml:space="preserve">2</w:t>
      </w:r>
      <w:r>
        <w:t xml:space="preserve">:E</w:t>
      </w:r>
      <w:r>
        <w:rPr>
          <w:vertAlign w:val="subscript"/>
        </w:rPr>
        <w:t xml:space="preserve">3</w:t>
      </w:r>
      <w:r>
        <w:t xml:space="preserve"> </w:t>
      </w:r>
      <w:r>
        <w:t xml:space="preserve">of 4.55, and mean SAC</w:t>
      </w:r>
      <w:r>
        <w:rPr>
          <w:vertAlign w:val="subscript"/>
        </w:rPr>
        <w:t xml:space="preserve">254</w:t>
      </w:r>
      <w:r>
        <w:t xml:space="preserve"> </w:t>
      </w:r>
      <w:r>
        <w:t xml:space="preserve">10.6 m</w:t>
      </w:r>
      <w:r>
        <w:rPr>
          <w:vertAlign w:val="superscript"/>
        </w:rPr>
        <w:t xml:space="preserve">-1</w:t>
      </w:r>
      <w:r>
        <w:t xml:space="preserve">).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 xml:space="preserve">2</w:t>
      </w:r>
      <w:r>
        <w:t xml:space="preserve">:E</w:t>
      </w:r>
      <w:r>
        <w:rPr>
          <w:vertAlign w:val="subscript"/>
        </w:rPr>
        <w:t xml:space="preserve">3</w:t>
      </w:r>
      <w:r>
        <w:t xml:space="preserve">, 3.77), and the other headwater creek in Cragg basin, Jarvis creek, had the other most aromatic sample measured by SAC</w:t>
      </w:r>
      <w:r>
        <w:rPr>
          <w:vertAlign w:val="subscript"/>
        </w:rPr>
        <w:t xml:space="preserve">254</w:t>
      </w:r>
      <w:r>
        <w:t xml:space="preserve"> </w:t>
      </w:r>
      <w:r>
        <w:t xml:space="preserve">(41.7 m</w:t>
      </w:r>
      <w:r>
        <w:rPr>
          <w:vertAlign w:val="superscript"/>
        </w:rPr>
        <w:t xml:space="preserve">-1</w:t>
      </w:r>
      <w:r>
        <w:t xml:space="preserve">). So, Lazar crk had the lowest aromatic NOM on average, but it also had one of the most aromatic samples of all (Table</w:t>
      </w:r>
      <w:r>
        <w:t xml:space="preserve"> </w:t>
      </w:r>
      <w:r>
        <w:t xml:space="preserve">9</w:t>
      </w:r>
      <w:r>
        <w:t xml:space="preserve">, Figure</w:t>
      </w:r>
      <w:r>
        <w:t xml:space="preserve"> </w:t>
      </w:r>
      <w:r>
        <w:t xml:space="preserve">8</w:t>
      </w:r>
      <w:r>
        <w:t xml:space="preserve">). Indeed, Lazar had the greatest range in E</w:t>
      </w:r>
      <w:r>
        <w:rPr>
          <w:vertAlign w:val="subscript"/>
        </w:rPr>
        <w:t xml:space="preserve">2</w:t>
      </w:r>
      <w:r>
        <w:t xml:space="preserve">:E</w:t>
      </w:r>
      <w:r>
        <w:rPr>
          <w:vertAlign w:val="subscript"/>
        </w:rPr>
        <w:t xml:space="preserve">3</w:t>
      </w:r>
      <w:r>
        <w:t xml:space="preserve"> </w:t>
      </w:r>
      <w:r>
        <w:t xml:space="preserve">values with 9% RSD. Overall, the most diversity in aromaticity measured by SAC</w:t>
      </w:r>
      <w:r>
        <w:rPr>
          <w:vertAlign w:val="subscript"/>
        </w:rPr>
        <w:t xml:space="preserve">254</w:t>
      </w:r>
      <w:r>
        <w:t xml:space="preserve"> </w:t>
      </w:r>
      <w:r>
        <w:t xml:space="preserve">were recorded in samples from the headwater sites of Chris crk (50% RSD), Jarvis (47% RSD) and Lazar (45% RSD). And the site with the greatest average aromaticity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4.27).</w:t>
      </w:r>
    </w:p>
    <w:p>
      <w:pPr>
        <w:pStyle w:val="BodyText"/>
      </w:pPr>
      <w:r>
        <w:t xml:space="preserve"> </w:t>
      </w:r>
    </w:p>
    <w:p>
      <w:pPr>
        <w:pStyle w:val="TableCaption"/>
      </w:pPr>
      <w:r>
        <w:t xml:space="preserve">Table 9: Spectral Properties of Natural Organic Matter (NOM) Character Across Twelve Synoptically Sampled Sites in the Greater Victoria Water Supply Area</w:t>
      </w:r>
    </w:p>
    <w:tbl>
      <w:tblPr>
        <w:tblStyle w:val="Table"/>
        <w:tblW w:type="pct" w:w="5000.0"/>
        <w:tblLook w:firstRow="1"/>
        <w:tblCaption w:val="Table 9: Spectral Properties of Natural Organic Matter (NOM) Character Across Twelve Synoptically Sampled Sites in the Greater Victoria Water Supply Area"/>
      </w:tblPr>
      <w:tblGrid>
        <w:gridCol w:w="430"/>
        <w:gridCol w:w="1612"/>
        <w:gridCol w:w="215"/>
        <w:gridCol w:w="788"/>
        <w:gridCol w:w="250"/>
        <w:gridCol w:w="645"/>
        <w:gridCol w:w="788"/>
        <w:gridCol w:w="788"/>
        <w:gridCol w:w="501"/>
        <w:gridCol w:w="250"/>
        <w:gridCol w:w="645"/>
        <w:gridCol w:w="501"/>
        <w:gridCol w:w="501"/>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1"/>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BodyText"/>
      </w:pPr>
      <w:r>
        <w:t xml:space="preserve">The Leech River Tunnel is the effective outlet of the LWSA, where runoff from each nested catchment is integrated. Similarly, from a headwater’s perspective, runoff from Weeks and Chris crk sub-basins is integrated at the Leech-Head site, and Jarvis and Lazar creek sub-basins are ultimately integrated at the Cragg crk site. There was a greater distance between the Cragg crk site and its headwaters’ sampling sites compared to Leech-Head and its headwaters’ locations (see Figure</w:t>
      </w:r>
      <w:r>
        <w:t xml:space="preserve"> </w:t>
      </w:r>
      <w:r>
        <w:t xml:space="preserve">2</w:t>
      </w:r>
      <w:r>
        <w:t xml:space="preserve">).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w:t>
      </w:r>
      <w:r>
        <w:t xml:space="preserve"> </w:t>
      </w:r>
      <w:r>
        <w:t xml:space="preserve">9</w:t>
      </w:r>
      <w:r>
        <w:t xml:space="preserve">, plot A). Similarly, Grab samples collected at the headwaters of Cragg crk, Jarvis and Lazar, were compared to all samples at the Cragg crk monitoring site (Figure</w:t>
      </w:r>
      <w:r>
        <w:t xml:space="preserve"> </w:t>
      </w:r>
      <w:r>
        <w:t xml:space="preserve">9</w:t>
      </w:r>
      <w:r>
        <w:t xml:space="preserve">, plot B). Higher order rivers were also examined in a similar way, comparing Rack and Grab samples at the Leech Tunnel to Grab samples collected upstream at Leech-Head, Cragg crk and West Leech sites (Figure</w:t>
      </w:r>
      <w:r>
        <w:t xml:space="preserve"> </w:t>
      </w:r>
      <w:r>
        <w:t xml:space="preserve">9</w:t>
      </w:r>
      <w:r>
        <w:t xml:space="preserve">, plot C).</w:t>
      </w:r>
    </w:p>
    <w:p>
      <w:pPr>
        <w:pStyle w:val="BodyText"/>
      </w:pPr>
      <w:r>
        <w:t xml:space="preserve"> </w:t>
      </w:r>
    </w:p>
    <w:p>
      <w:pPr>
        <w:pStyle w:val="BodyText"/>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9</w:t>
      </w:r>
      <w:r>
        <w:t xml:space="preserve">, plot A);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(Levene’s p-value 0.0011). Unlike Leech-Head, which had moderate DOC concentrations relative to its two headwaters, samples collected at Cragg crk had DOC that was lower than concentrations in either of its headwater sites (Figure</w:t>
      </w:r>
      <w:r>
        <w:t xml:space="preserve"> </w:t>
      </w:r>
      <w:r>
        <w:t xml:space="preserve">9</w:t>
      </w:r>
      <w:r>
        <w:t xml:space="preserve">,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When higher order rivers were examined in a similar upstream Grab to downstream Rack &amp; Grab comparison, the combination of Rack and Grab samples at the Leech Tunnel site did capture the DOC ranges observed in Grab samples at three upstream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CaptionedFigure"/>
      </w:pPr>
      <w:r>
        <w:drawing>
          <wp:inline>
            <wp:extent cx="5504749" cy="5504749"/>
            <wp:effectExtent b="0" l="0" r="0" t="0"/>
            <wp:docPr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2_DOC-boxplot_up-down_metcompar.png" id="0" name="Picture"/>
                    <pic:cNvPicPr>
                      <a:picLocks noChangeArrowheads="1" noChangeAspect="1"/>
                    </pic:cNvPicPr>
                  </pic:nvPicPr>
                  <pic:blipFill>
                    <a:blip r:embed="rId7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BodyText"/>
      </w:pPr>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achieved by combining event-based (i.e. Vertical Rack) sampling with standard Grab sampling at the future point of diversion. In the headwaters, however, Rack sampling combined with Grab sampling at 4th order streams did not capture the variance in DOC observed upstream in Grab samples from 3rd order stream (headwater) samples; this is likely due to the greater variability at lower-order streams.</w:t>
      </w:r>
    </w:p>
    <w:p>
      <w:pPr>
        <w:pStyle w:val="BodyText"/>
      </w:pPr>
      <w:r>
        <w:t xml:space="preserve"> </w:t>
      </w:r>
    </w:p>
    <w:p>
      <w:pPr>
        <w:pStyle w:val="Heading4"/>
      </w:pPr>
      <w:bookmarkStart w:id="73" w:name="temporal-patterns-in-doc-nom"/>
      <w:r>
        <w:t xml:space="preserve">Temporal patterns in DOC &amp; NOM</w:t>
      </w:r>
      <w:bookmarkEnd w:id="73"/>
    </w:p>
    <w:p>
      <w:pPr>
        <w:pStyle w:val="FirstParagraph"/>
      </w:pPr>
      <w:r>
        <w:t xml:space="preserve">From Oct 2018 to Feb 2020, DOC concentrations followed similar patterns across the synoptic sampling sites (Figure</w:t>
      </w:r>
      <w:r>
        <w:t xml:space="preserve"> </w:t>
      </w:r>
      <w:r>
        <w:t xml:space="preserve">10</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sinusoidal trend in DOC over the sampling seasons (Figure</w:t>
      </w:r>
      <w:r>
        <w:t xml:space="preserve"> </w:t>
      </w:r>
      <w:r>
        <w:t xml:space="preserve">10</w:t>
      </w:r>
      <w:r>
        <w:t xml:space="preserve">).</w:t>
      </w:r>
    </w:p>
    <w:p>
      <w:pPr>
        <w:pStyle w:val="BodyText"/>
      </w:pPr>
      <w:r>
        <w:t xml:space="preserve"> </w:t>
      </w:r>
    </w:p>
    <w:p>
      <w:pPr>
        <w:pStyle w:val="CaptionedFigure"/>
      </w:pPr>
      <w:r>
        <w:drawing>
          <wp:inline>
            <wp:extent cx="5504749" cy="3669832"/>
            <wp:effectExtent b="0" l="0" r="0" t="0"/>
            <wp:docPr descr="Figure 10: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2_DOC-loess-trend.png" id="0" name="Picture"/>
                    <pic:cNvPicPr>
                      <a:picLocks noChangeArrowheads="1" noChangeAspect="1"/>
                    </pic:cNvPicPr>
                  </pic:nvPicPr>
                  <pic:blipFill>
                    <a:blip r:embed="rId7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There were few data points from mid-February through March 2019 (when snow limited field access); however, DOC concentrations were decreasing up to that gap, and were low following it. Thus, the loess trend line in Figure</w:t>
      </w:r>
      <w:r>
        <w:t xml:space="preserve"> </w:t>
      </w:r>
      <w:r>
        <w:t xml:space="preserve">10</w:t>
      </w:r>
      <w:r>
        <w:t xml:space="preserve">, though it includes this data-sparce period, appears to fit the overall pattern of available data.</w:t>
      </w:r>
    </w:p>
    <w:p>
      <w:pPr>
        <w:pStyle w:val="BodyText"/>
      </w:pPr>
      <w:r>
        <w:t xml:space="preserve"> </w:t>
      </w:r>
    </w:p>
    <w:p>
      <w:pPr>
        <w:pStyle w:val="BodyText"/>
      </w:pPr>
      <w:r>
        <w:t xml:space="preserve">Despite DOC changes over time, there was almost no difference between mean DOC concentrations during the wet and dry seasons (6.13 mg/L compared to 6.14 mg/L, Table</w:t>
      </w:r>
      <w:r>
        <w:t xml:space="preserve"> </w:t>
      </w:r>
      <w:r>
        <w:t xml:space="preserve">10</w:t>
      </w:r>
      <w:r>
        <w:t xml:space="preserve">). However, there were far fewer samples collected in the dry season (55) than during the wet season (311).</w:t>
      </w:r>
    </w:p>
    <w:p>
      <w:pPr>
        <w:pStyle w:val="BodyText"/>
      </w:pPr>
      <w:r>
        <w:t xml:space="preserve"> </w:t>
      </w:r>
    </w:p>
    <w:p>
      <w:pPr>
        <w:pStyle w:val="TableCaption"/>
      </w:pPr>
      <w:r>
        <w:t xml:space="preserve">Table 10: Seasonal Sample Collection and Dissolved Organic Carbon (DOC) Summary from Twelve Synoptic Sampling Sites Across the Greater Victoria Water Supply Area</w:t>
      </w:r>
    </w:p>
    <w:tbl>
      <w:tblPr>
        <w:tblStyle w:val="Table"/>
        <w:tblW w:type="pct" w:w="5000.0"/>
        <w:tblLook w:firstRow="1"/>
        <w:tblCaption w:val="Table 10: Seasonal Sample Collection and Dissolved Organic Carbon (DOC) Summary from Twelve Synoptic Sampling Sites Across the Greater Victoria Water Supply Area"/>
      </w:tblPr>
      <w:tblGrid>
        <w:gridCol w:w="554"/>
        <w:gridCol w:w="1029"/>
        <w:gridCol w:w="1267"/>
        <w:gridCol w:w="1267"/>
        <w:gridCol w:w="792"/>
        <w:gridCol w:w="950"/>
        <w:gridCol w:w="1108"/>
        <w:gridCol w:w="950"/>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dry</w:t>
            </w:r>
          </w:p>
        </w:tc>
        <w:tc>
          <w:p>
            <w:pPr>
              <w:pStyle w:val="Compact"/>
              <w:jc w:val="right"/>
            </w:pPr>
            <w:r>
              <w:t xml:space="preserve">55</w:t>
            </w:r>
          </w:p>
        </w:tc>
        <w:tc>
          <w:p>
            <w:pPr>
              <w:pStyle w:val="Compact"/>
              <w:jc w:val="right"/>
            </w:pPr>
            <w:r>
              <w:t xml:space="preserve">6.13</w:t>
            </w:r>
          </w:p>
        </w:tc>
        <w:tc>
          <w:p>
            <w:pPr>
              <w:pStyle w:val="Compact"/>
              <w:jc w:val="right"/>
            </w:pPr>
            <w:r>
              <w:t xml:space="preserve">2.99</w:t>
            </w:r>
          </w:p>
        </w:tc>
        <w:tc>
          <w:p>
            <w:pPr>
              <w:pStyle w:val="Compact"/>
              <w:jc w:val="right"/>
            </w:pPr>
            <w:r>
              <w:t xml:space="preserve">49</w:t>
            </w:r>
          </w:p>
        </w:tc>
        <w:tc>
          <w:p>
            <w:pPr>
              <w:pStyle w:val="Compact"/>
              <w:jc w:val="right"/>
            </w:pPr>
            <w:r>
              <w:t xml:space="preserve">1.6</w:t>
            </w:r>
          </w:p>
        </w:tc>
        <w:tc>
          <w:p>
            <w:pPr>
              <w:pStyle w:val="Compact"/>
              <w:jc w:val="right"/>
            </w:pPr>
            <w:r>
              <w:t xml:space="preserve">6.1</w:t>
            </w:r>
          </w:p>
        </w:tc>
        <w:tc>
          <w:p>
            <w:pPr>
              <w:pStyle w:val="Compact"/>
              <w:jc w:val="right"/>
            </w:pPr>
            <w:r>
              <w:t xml:space="preserve">12.8</w:t>
            </w:r>
          </w:p>
        </w:tc>
      </w:tr>
      <w:tr>
        <w:tc>
          <w:p>
            <w:pPr>
              <w:pStyle w:val="Compact"/>
              <w:jc w:val="left"/>
            </w:pPr>
            <w:r>
              <w:t xml:space="preserve">wet</w:t>
            </w:r>
          </w:p>
        </w:tc>
        <w:tc>
          <w:p>
            <w:pPr>
              <w:pStyle w:val="Compact"/>
              <w:jc w:val="right"/>
            </w:pPr>
            <w:r>
              <w:t xml:space="preserve">311</w:t>
            </w:r>
          </w:p>
        </w:tc>
        <w:tc>
          <w:p>
            <w:pPr>
              <w:pStyle w:val="Compact"/>
              <w:jc w:val="right"/>
            </w:pPr>
            <w:r>
              <w:t xml:space="preserve">6.14</w:t>
            </w:r>
          </w:p>
        </w:tc>
        <w:tc>
          <w:p>
            <w:pPr>
              <w:pStyle w:val="Compact"/>
              <w:jc w:val="right"/>
            </w:pPr>
            <w:r>
              <w:t xml:space="preserve">2.91</w:t>
            </w:r>
          </w:p>
        </w:tc>
        <w:tc>
          <w:p>
            <w:pPr>
              <w:pStyle w:val="Compact"/>
              <w:jc w:val="right"/>
            </w:pPr>
            <w:r>
              <w:t xml:space="preserve">47</w:t>
            </w:r>
          </w:p>
        </w:tc>
        <w:tc>
          <w:p>
            <w:pPr>
              <w:pStyle w:val="Compact"/>
              <w:jc w:val="right"/>
            </w:pPr>
            <w:r>
              <w:t xml:space="preserve">1.8</w:t>
            </w:r>
          </w:p>
        </w:tc>
        <w:tc>
          <w:p>
            <w:pPr>
              <w:pStyle w:val="Compact"/>
              <w:jc w:val="right"/>
            </w:pPr>
            <w:r>
              <w:t xml:space="preserve">5.6</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 </w:t>
      </w:r>
    </w:p>
    <w:p>
      <w:pPr>
        <w:pStyle w:val="BodyText"/>
      </w:pPr>
      <w:r>
        <w:t xml:space="preserve">The wet season was most heavily sampled at the six monitoring sites in the Leech WSA, where Rack samplers more doubled the number of samples that would have been collected through Grab sampling alone. Isolating DOC results to the six monitoring sites during only the wet season allows for further comparison of Vertical Rack sampling methods to standard synoptic Grab sampling (Table</w:t>
      </w:r>
      <w:r>
        <w:t xml:space="preserve"> </w:t>
      </w:r>
      <w:r>
        <w:t xml:space="preserve">11</w:t>
      </w:r>
      <w:r>
        <w:t xml:space="preserve">). Across the six sites, Rack samples contained higher DOC concentrations on average that Grab samples (6.8 mg/L compared to 5.2 mg/L). Surprisingly, a slightly greater variance was captured through Grab sampling (53% RSD) compared to Rack sampling (41% RSD).</w:t>
      </w:r>
    </w:p>
    <w:p>
      <w:pPr>
        <w:pStyle w:val="BodyText"/>
      </w:pPr>
      <w:r>
        <w:t xml:space="preserve"> </w:t>
      </w:r>
    </w:p>
    <w:p>
      <w:pPr>
        <w:pStyle w:val="TableCaption"/>
      </w:pPr>
      <w:r>
        <w:t xml:space="preserve">Table 11: Wet Season Dissolved Organic Carbon (DOC) by Sample Collection Method at Six Monitoring Sites in the Leech Watershed</w:t>
      </w:r>
    </w:p>
    <w:tbl>
      <w:tblPr>
        <w:tblStyle w:val="Table"/>
        <w:tblW w:type="pct" w:w="4999.999999999999"/>
        <w:tblLook w:firstRow="1"/>
        <w:tblCaption w:val="Table 11: Wet Season Dissolved Organic Carbon (DOC) by Sample Collection Method at Six Monitoring Sites in the Leech Watershed"/>
      </w:tblPr>
      <w:tblGrid>
        <w:gridCol w:w="969"/>
        <w:gridCol w:w="484"/>
        <w:gridCol w:w="1293"/>
        <w:gridCol w:w="1293"/>
        <w:gridCol w:w="808"/>
        <w:gridCol w:w="969"/>
        <w:gridCol w:w="1131"/>
        <w:gridCol w:w="969"/>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Grab</w:t>
            </w:r>
          </w:p>
        </w:tc>
        <w:tc>
          <w:p>
            <w:pPr>
              <w:pStyle w:val="Compact"/>
              <w:jc w:val="right"/>
            </w:pPr>
            <w:r>
              <w:t xml:space="preserve">109</w:t>
            </w:r>
          </w:p>
        </w:tc>
        <w:tc>
          <w:p>
            <w:pPr>
              <w:pStyle w:val="Compact"/>
              <w:jc w:val="right"/>
            </w:pPr>
            <w:r>
              <w:t xml:space="preserve">5.22</w:t>
            </w:r>
          </w:p>
        </w:tc>
        <w:tc>
          <w:p>
            <w:pPr>
              <w:pStyle w:val="Compact"/>
              <w:jc w:val="right"/>
            </w:pPr>
            <w:r>
              <w:t xml:space="preserve">2.74</w:t>
            </w:r>
          </w:p>
        </w:tc>
        <w:tc>
          <w:p>
            <w:pPr>
              <w:pStyle w:val="Compact"/>
              <w:jc w:val="right"/>
            </w:pPr>
            <w:r>
              <w:t xml:space="preserve">53</w:t>
            </w:r>
          </w:p>
        </w:tc>
        <w:tc>
          <w:p>
            <w:pPr>
              <w:pStyle w:val="Compact"/>
              <w:jc w:val="right"/>
            </w:pPr>
            <w:r>
              <w:t xml:space="preserve">1.8</w:t>
            </w:r>
          </w:p>
        </w:tc>
        <w:tc>
          <w:p>
            <w:pPr>
              <w:pStyle w:val="Compact"/>
              <w:jc w:val="right"/>
            </w:pPr>
            <w:r>
              <w:t xml:space="preserve">4.4</w:t>
            </w:r>
          </w:p>
        </w:tc>
        <w:tc>
          <w:p>
            <w:pPr>
              <w:pStyle w:val="Compact"/>
              <w:jc w:val="right"/>
            </w:pPr>
            <w:r>
              <w:t xml:space="preserve">18.7</w:t>
            </w:r>
          </w:p>
        </w:tc>
      </w:tr>
      <w:tr>
        <w:tc>
          <w:p>
            <w:pPr>
              <w:pStyle w:val="Compact"/>
              <w:jc w:val="left"/>
            </w:pPr>
            <w:r>
              <w:t xml:space="preserve">Rack</w:t>
            </w:r>
          </w:p>
        </w:tc>
        <w:tc>
          <w:p>
            <w:pPr>
              <w:pStyle w:val="Compact"/>
              <w:jc w:val="right"/>
            </w:pPr>
            <w:r>
              <w:t xml:space="preserve">170</w:t>
            </w:r>
          </w:p>
        </w:tc>
        <w:tc>
          <w:p>
            <w:pPr>
              <w:pStyle w:val="Compact"/>
              <w:jc w:val="right"/>
            </w:pPr>
            <w:r>
              <w:t xml:space="preserve">6.79</w:t>
            </w:r>
          </w:p>
        </w:tc>
        <w:tc>
          <w:p>
            <w:pPr>
              <w:pStyle w:val="Compact"/>
              <w:jc w:val="right"/>
            </w:pPr>
            <w:r>
              <w:t xml:space="preserve">2.80</w:t>
            </w:r>
          </w:p>
        </w:tc>
        <w:tc>
          <w:p>
            <w:pPr>
              <w:pStyle w:val="Compact"/>
              <w:jc w:val="right"/>
            </w:pPr>
            <w:r>
              <w:t xml:space="preserve">41</w:t>
            </w:r>
          </w:p>
        </w:tc>
        <w:tc>
          <w:p>
            <w:pPr>
              <w:pStyle w:val="Compact"/>
              <w:jc w:val="right"/>
            </w:pPr>
            <w:r>
              <w:t xml:space="preserve">2.6</w:t>
            </w:r>
          </w:p>
        </w:tc>
        <w:tc>
          <w:p>
            <w:pPr>
              <w:pStyle w:val="Compact"/>
              <w:jc w:val="right"/>
            </w:pPr>
            <w:r>
              <w:t xml:space="preserve">6.4</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 </w:t>
      </w:r>
    </w:p>
    <w:p>
      <w:pPr>
        <w:pStyle w:val="BodyText"/>
      </w:pPr>
      <w:r>
        <w:t xml:space="preserve">All of the sites had higher mean DOC collected by Rack sampling in events compared to DOC mean in Grab samples (Table</w:t>
      </w:r>
      <w:r>
        <w:t xml:space="preserve"> </w:t>
      </w:r>
      <w:r>
        <w:t xml:space="preserve">11</w:t>
      </w:r>
      <w:r>
        <w:t xml:space="preserve">). Weeks crk had the highest DOC overall, with slightly higher concentrations occurring during stream rise (10.3 mg/L). Interestingly, Rack samples at Weeks crk captured both the highest and lowest DOC concentrations (min of 3.8 mg/L, max of 19.1 mg/L). West Leech showed the greatest difference between DOC collected as Grab samples (4.2 ± 1.9) and Rack-based event samples (6.7 ± 2.2 mg/L). This suggests that hydrologic pulses in the West Leech sub-basin create considerably different DOC transport than non-stormflow in that sub-basin (Figure</w:t>
      </w:r>
      <w:r>
        <w:t xml:space="preserve"> </w:t>
      </w:r>
      <w:r>
        <w:t xml:space="preserve">11</w:t>
      </w:r>
      <w:r>
        <w:t xml:space="preserve">).</w:t>
      </w:r>
    </w:p>
    <w:p>
      <w:pPr>
        <w:pStyle w:val="BodyText"/>
      </w:pPr>
      <w:r>
        <w:t xml:space="preserve"> </w:t>
      </w:r>
    </w:p>
    <w:p>
      <w:pPr>
        <w:pStyle w:val="TableCaption"/>
      </w:pPr>
      <w:r>
        <w:t xml:space="preserve">Table 12: Wet Season Dissolved Organic Carbon (DOC) by Sample Collection Method at Each of the Six Monitoring Sites in the Leech Watershed</w:t>
      </w:r>
    </w:p>
    <w:tbl>
      <w:tblPr>
        <w:tblStyle w:val="Table"/>
        <w:tblW w:type="pct" w:w="5000.0"/>
        <w:tblLook w:firstRow="1"/>
        <w:tblCaption w:val="Table 12: Wet Season Dissolved Organic Carbon (DOC) by Sample Collection Method at Each of the Six Monitoring Sites in the Leech Watershed"/>
      </w:tblPr>
      <w:tblGrid>
        <w:gridCol w:w="733"/>
        <w:gridCol w:w="880"/>
        <w:gridCol w:w="440"/>
        <w:gridCol w:w="1173"/>
        <w:gridCol w:w="1173"/>
        <w:gridCol w:w="733"/>
        <w:gridCol w:w="880"/>
        <w:gridCol w:w="1026"/>
        <w:gridCol w:w="880"/>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right"/>
            </w:pPr>
            <w:r>
              <w:t xml:space="preserve">9.28</w:t>
            </w:r>
          </w:p>
        </w:tc>
        <w:tc>
          <w:p>
            <w:pPr>
              <w:pStyle w:val="Compact"/>
              <w:jc w:val="right"/>
            </w:pPr>
            <w:r>
              <w:t xml:space="preserve">3.21</w:t>
            </w:r>
          </w:p>
        </w:tc>
        <w:tc>
          <w:p>
            <w:pPr>
              <w:pStyle w:val="Compact"/>
              <w:jc w:val="right"/>
            </w:pPr>
            <w:r>
              <w:t xml:space="preserve">35</w:t>
            </w:r>
          </w:p>
        </w:tc>
        <w:tc>
          <w:p>
            <w:pPr>
              <w:pStyle w:val="Compact"/>
              <w:jc w:val="right"/>
            </w:pPr>
            <w:r>
              <w:t xml:space="preserve">6.4</w:t>
            </w:r>
          </w:p>
        </w:tc>
        <w:tc>
          <w:p>
            <w:pPr>
              <w:pStyle w:val="Compact"/>
              <w:jc w:val="right"/>
            </w:pPr>
            <w:r>
              <w:t xml:space="preserve">8.9</w:t>
            </w:r>
          </w:p>
        </w:tc>
        <w:tc>
          <w:p>
            <w:pPr>
              <w:pStyle w:val="Compact"/>
              <w:jc w:val="right"/>
            </w:pPr>
            <w:r>
              <w:t xml:space="preserve">18.7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10.25</w:t>
            </w:r>
          </w:p>
        </w:tc>
        <w:tc>
          <w:p>
            <w:pPr>
              <w:pStyle w:val="Compact"/>
              <w:jc w:val="right"/>
            </w:pPr>
            <w:r>
              <w:t xml:space="preserve">3.74</w:t>
            </w:r>
          </w:p>
        </w:tc>
        <w:tc>
          <w:p>
            <w:pPr>
              <w:pStyle w:val="Compact"/>
              <w:jc w:val="right"/>
            </w:pPr>
            <w:r>
              <w:t xml:space="preserve">36</w:t>
            </w:r>
          </w:p>
        </w:tc>
        <w:tc>
          <w:p>
            <w:pPr>
              <w:pStyle w:val="Compact"/>
              <w:jc w:val="right"/>
            </w:pPr>
            <w:r>
              <w:t xml:space="preserve">3.8</w:t>
            </w:r>
          </w:p>
        </w:tc>
        <w:tc>
          <w:p>
            <w:pPr>
              <w:pStyle w:val="Compact"/>
              <w:jc w:val="right"/>
            </w:pPr>
            <w:r>
              <w:t xml:space="preserve">9.9</w:t>
            </w:r>
          </w:p>
        </w:tc>
        <w:tc>
          <w:p>
            <w:pPr>
              <w:pStyle w:val="Compact"/>
              <w:jc w:val="right"/>
            </w:pPr>
            <w:r>
              <w:t xml:space="preserve">19.1</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right"/>
            </w:pPr>
            <w:r>
              <w:t xml:space="preserve">3.62</w:t>
            </w:r>
          </w:p>
        </w:tc>
        <w:tc>
          <w:p>
            <w:pPr>
              <w:pStyle w:val="Compact"/>
              <w:jc w:val="right"/>
            </w:pPr>
            <w:r>
              <w:t xml:space="preserve">1.99</w:t>
            </w:r>
          </w:p>
        </w:tc>
        <w:tc>
          <w:p>
            <w:pPr>
              <w:pStyle w:val="Compact"/>
              <w:jc w:val="right"/>
            </w:pPr>
            <w:r>
              <w:t xml:space="preserve">55</w:t>
            </w:r>
          </w:p>
        </w:tc>
        <w:tc>
          <w:p>
            <w:pPr>
              <w:pStyle w:val="Compact"/>
              <w:jc w:val="right"/>
            </w:pPr>
            <w:r>
              <w:t xml:space="preserve">1.8</w:t>
            </w:r>
          </w:p>
        </w:tc>
        <w:tc>
          <w:p>
            <w:pPr>
              <w:pStyle w:val="Compact"/>
              <w:jc w:val="right"/>
            </w:pPr>
            <w:r>
              <w:t xml:space="preserve">2.8</w:t>
            </w:r>
          </w:p>
        </w:tc>
        <w:tc>
          <w:p>
            <w:pPr>
              <w:pStyle w:val="Compact"/>
              <w:jc w:val="right"/>
            </w:pPr>
            <w:r>
              <w:t xml:space="preserve">9.0</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5.52</w:t>
            </w:r>
          </w:p>
        </w:tc>
        <w:tc>
          <w:p>
            <w:pPr>
              <w:pStyle w:val="Compact"/>
              <w:jc w:val="right"/>
            </w:pPr>
            <w:r>
              <w:t xml:space="preserve">1.75</w:t>
            </w:r>
          </w:p>
        </w:tc>
        <w:tc>
          <w:p>
            <w:pPr>
              <w:pStyle w:val="Compact"/>
              <w:jc w:val="right"/>
            </w:pPr>
            <w:r>
              <w:t xml:space="preserve">32</w:t>
            </w:r>
          </w:p>
        </w:tc>
        <w:tc>
          <w:p>
            <w:pPr>
              <w:pStyle w:val="Compact"/>
              <w:jc w:val="right"/>
            </w:pPr>
            <w:r>
              <w:t xml:space="preserve">2.6</w:t>
            </w:r>
          </w:p>
        </w:tc>
        <w:tc>
          <w:p>
            <w:pPr>
              <w:pStyle w:val="Compact"/>
              <w:jc w:val="right"/>
            </w:pPr>
            <w:r>
              <w:t xml:space="preserve">5.4</w:t>
            </w:r>
          </w:p>
        </w:tc>
        <w:tc>
          <w:p>
            <w:pPr>
              <w:pStyle w:val="Compact"/>
              <w:jc w:val="right"/>
            </w:pPr>
            <w:r>
              <w:t xml:space="preserve">9.2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right"/>
            </w:pPr>
            <w:r>
              <w:t xml:space="preserve">7.13</w:t>
            </w:r>
          </w:p>
        </w:tc>
        <w:tc>
          <w:p>
            <w:pPr>
              <w:pStyle w:val="Compact"/>
              <w:jc w:val="right"/>
            </w:pPr>
            <w:r>
              <w:t xml:space="preserve">1.91</w:t>
            </w:r>
          </w:p>
        </w:tc>
        <w:tc>
          <w:p>
            <w:pPr>
              <w:pStyle w:val="Compact"/>
              <w:jc w:val="right"/>
            </w:pPr>
            <w:r>
              <w:t xml:space="preserve">27</w:t>
            </w:r>
          </w:p>
        </w:tc>
        <w:tc>
          <w:p>
            <w:pPr>
              <w:pStyle w:val="Compact"/>
              <w:jc w:val="right"/>
            </w:pPr>
            <w:r>
              <w:t xml:space="preserve">4.9</w:t>
            </w:r>
          </w:p>
        </w:tc>
        <w:tc>
          <w:p>
            <w:pPr>
              <w:pStyle w:val="Compact"/>
              <w:jc w:val="right"/>
            </w:pPr>
            <w:r>
              <w:t xml:space="preserve">6.2</w:t>
            </w:r>
          </w:p>
        </w:tc>
        <w:tc>
          <w:p>
            <w:pPr>
              <w:pStyle w:val="Compact"/>
              <w:jc w:val="right"/>
            </w:pPr>
            <w:r>
              <w:t xml:space="preserve">11.6</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7.45</w:t>
            </w:r>
          </w:p>
        </w:tc>
        <w:tc>
          <w:p>
            <w:pPr>
              <w:pStyle w:val="Compact"/>
              <w:jc w:val="right"/>
            </w:pPr>
            <w:r>
              <w:t xml:space="preserve">1.73</w:t>
            </w:r>
          </w:p>
        </w:tc>
        <w:tc>
          <w:p>
            <w:pPr>
              <w:pStyle w:val="Compact"/>
              <w:jc w:val="right"/>
            </w:pPr>
            <w:r>
              <w:t xml:space="preserve">23</w:t>
            </w:r>
          </w:p>
        </w:tc>
        <w:tc>
          <w:p>
            <w:pPr>
              <w:pStyle w:val="Compact"/>
              <w:jc w:val="right"/>
            </w:pPr>
            <w:r>
              <w:t xml:space="preserve">4.0</w:t>
            </w:r>
          </w:p>
        </w:tc>
        <w:tc>
          <w:p>
            <w:pPr>
              <w:pStyle w:val="Compact"/>
              <w:jc w:val="right"/>
            </w:pPr>
            <w:r>
              <w:t xml:space="preserve">7.3</w:t>
            </w:r>
          </w:p>
        </w:tc>
        <w:tc>
          <w:p>
            <w:pPr>
              <w:pStyle w:val="Compact"/>
              <w:jc w:val="right"/>
            </w:pPr>
            <w:r>
              <w:t xml:space="preserve">10.6</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right"/>
            </w:pPr>
            <w:r>
              <w:t xml:space="preserve">4.10</w:t>
            </w:r>
          </w:p>
        </w:tc>
        <w:tc>
          <w:p>
            <w:pPr>
              <w:pStyle w:val="Compact"/>
              <w:jc w:val="right"/>
            </w:pPr>
            <w:r>
              <w:t xml:space="preserve">1.33</w:t>
            </w:r>
          </w:p>
        </w:tc>
        <w:tc>
          <w:p>
            <w:pPr>
              <w:pStyle w:val="Compact"/>
              <w:jc w:val="right"/>
            </w:pPr>
            <w:r>
              <w:t xml:space="preserve">32</w:t>
            </w:r>
          </w:p>
        </w:tc>
        <w:tc>
          <w:p>
            <w:pPr>
              <w:pStyle w:val="Compact"/>
              <w:jc w:val="right"/>
            </w:pPr>
            <w:r>
              <w:t xml:space="preserve">2.6</w:t>
            </w:r>
          </w:p>
        </w:tc>
        <w:tc>
          <w:p>
            <w:pPr>
              <w:pStyle w:val="Compact"/>
              <w:jc w:val="right"/>
            </w:pPr>
            <w:r>
              <w:t xml:space="preserve">3.6</w:t>
            </w:r>
          </w:p>
        </w:tc>
        <w:tc>
          <w:p>
            <w:pPr>
              <w:pStyle w:val="Compact"/>
              <w:jc w:val="right"/>
            </w:pPr>
            <w:r>
              <w:t xml:space="preserve">7.5</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5.26</w:t>
            </w:r>
          </w:p>
        </w:tc>
        <w:tc>
          <w:p>
            <w:pPr>
              <w:pStyle w:val="Compact"/>
              <w:jc w:val="right"/>
            </w:pPr>
            <w:r>
              <w:t xml:space="preserve">1.54</w:t>
            </w:r>
          </w:p>
        </w:tc>
        <w:tc>
          <w:p>
            <w:pPr>
              <w:pStyle w:val="Compact"/>
              <w:jc w:val="right"/>
            </w:pPr>
            <w:r>
              <w:t xml:space="preserve">29</w:t>
            </w:r>
          </w:p>
        </w:tc>
        <w:tc>
          <w:p>
            <w:pPr>
              <w:pStyle w:val="Compact"/>
              <w:jc w:val="right"/>
            </w:pPr>
            <w:r>
              <w:t xml:space="preserve">3.0</w:t>
            </w:r>
          </w:p>
        </w:tc>
        <w:tc>
          <w:p>
            <w:pPr>
              <w:pStyle w:val="Compact"/>
              <w:jc w:val="right"/>
            </w:pPr>
            <w:r>
              <w:t xml:space="preserve">4.9</w:t>
            </w:r>
          </w:p>
        </w:tc>
        <w:tc>
          <w:p>
            <w:pPr>
              <w:pStyle w:val="Compact"/>
              <w:jc w:val="right"/>
            </w:pPr>
            <w:r>
              <w:t xml:space="preserve">8.2</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right"/>
            </w:pPr>
            <w:r>
              <w:t xml:space="preserve">4.18</w:t>
            </w:r>
          </w:p>
        </w:tc>
        <w:tc>
          <w:p>
            <w:pPr>
              <w:pStyle w:val="Compact"/>
              <w:jc w:val="right"/>
            </w:pPr>
            <w:r>
              <w:t xml:space="preserve">1.87</w:t>
            </w:r>
          </w:p>
        </w:tc>
        <w:tc>
          <w:p>
            <w:pPr>
              <w:pStyle w:val="Compact"/>
              <w:jc w:val="right"/>
            </w:pPr>
            <w:r>
              <w:t xml:space="preserve">45</w:t>
            </w:r>
          </w:p>
        </w:tc>
        <w:tc>
          <w:p>
            <w:pPr>
              <w:pStyle w:val="Compact"/>
              <w:jc w:val="right"/>
            </w:pPr>
            <w:r>
              <w:t xml:space="preserve">2.3</w:t>
            </w:r>
          </w:p>
        </w:tc>
        <w:tc>
          <w:p>
            <w:pPr>
              <w:pStyle w:val="Compact"/>
              <w:jc w:val="right"/>
            </w:pPr>
            <w:r>
              <w:t xml:space="preserve">3.5</w:t>
            </w:r>
          </w:p>
        </w:tc>
        <w:tc>
          <w:p>
            <w:pPr>
              <w:pStyle w:val="Compact"/>
              <w:jc w:val="right"/>
            </w:pPr>
            <w:r>
              <w:t xml:space="preserve">9.1</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6.67</w:t>
            </w:r>
          </w:p>
        </w:tc>
        <w:tc>
          <w:p>
            <w:pPr>
              <w:pStyle w:val="Compact"/>
              <w:jc w:val="right"/>
            </w:pPr>
            <w:r>
              <w:t xml:space="preserve">2.23</w:t>
            </w:r>
          </w:p>
        </w:tc>
        <w:tc>
          <w:p>
            <w:pPr>
              <w:pStyle w:val="Compact"/>
              <w:jc w:val="right"/>
            </w:pPr>
            <w:r>
              <w:t xml:space="preserve">33</w:t>
            </w:r>
          </w:p>
        </w:tc>
        <w:tc>
          <w:p>
            <w:pPr>
              <w:pStyle w:val="Compact"/>
              <w:jc w:val="right"/>
            </w:pPr>
            <w:r>
              <w:t xml:space="preserve">2.9</w:t>
            </w:r>
          </w:p>
        </w:tc>
        <w:tc>
          <w:p>
            <w:pPr>
              <w:pStyle w:val="Compact"/>
              <w:jc w:val="right"/>
            </w:pPr>
            <w:r>
              <w:t xml:space="preserve">6.5</w:t>
            </w:r>
          </w:p>
        </w:tc>
        <w:tc>
          <w:p>
            <w:pPr>
              <w:pStyle w:val="Compact"/>
              <w:jc w:val="right"/>
            </w:pPr>
            <w:r>
              <w:t xml:space="preserve">10.9</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right"/>
            </w:pPr>
            <w:r>
              <w:t xml:space="preserve">4.28</w:t>
            </w:r>
          </w:p>
        </w:tc>
        <w:tc>
          <w:p>
            <w:pPr>
              <w:pStyle w:val="Compact"/>
              <w:jc w:val="right"/>
            </w:pPr>
            <w:r>
              <w:t xml:space="preserve">1.46</w:t>
            </w:r>
          </w:p>
        </w:tc>
        <w:tc>
          <w:p>
            <w:pPr>
              <w:pStyle w:val="Compact"/>
              <w:jc w:val="right"/>
            </w:pPr>
            <w:r>
              <w:t xml:space="preserve">34</w:t>
            </w:r>
          </w:p>
        </w:tc>
        <w:tc>
          <w:p>
            <w:pPr>
              <w:pStyle w:val="Compact"/>
              <w:jc w:val="right"/>
            </w:pPr>
            <w:r>
              <w:t xml:space="preserve">2.2</w:t>
            </w:r>
          </w:p>
        </w:tc>
        <w:tc>
          <w:p>
            <w:pPr>
              <w:pStyle w:val="Compact"/>
              <w:jc w:val="right"/>
            </w:pPr>
            <w:r>
              <w:t xml:space="preserve">3.7</w:t>
            </w:r>
          </w:p>
        </w:tc>
        <w:tc>
          <w:p>
            <w:pPr>
              <w:pStyle w:val="Compact"/>
              <w:jc w:val="right"/>
            </w:pPr>
            <w:r>
              <w:t xml:space="preserve">8.9</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5.60</w:t>
            </w:r>
          </w:p>
        </w:tc>
        <w:tc>
          <w:p>
            <w:pPr>
              <w:pStyle w:val="Compact"/>
              <w:jc w:val="right"/>
            </w:pPr>
            <w:r>
              <w:t xml:space="preserve">1.69</w:t>
            </w:r>
          </w:p>
        </w:tc>
        <w:tc>
          <w:p>
            <w:pPr>
              <w:pStyle w:val="Compact"/>
              <w:jc w:val="right"/>
            </w:pPr>
            <w:r>
              <w:t xml:space="preserve">30</w:t>
            </w:r>
          </w:p>
        </w:tc>
        <w:tc>
          <w:p>
            <w:pPr>
              <w:pStyle w:val="Compact"/>
              <w:jc w:val="right"/>
            </w:pPr>
            <w:r>
              <w:t xml:space="preserve">2.7</w:t>
            </w:r>
          </w:p>
        </w:tc>
        <w:tc>
          <w:p>
            <w:pPr>
              <w:pStyle w:val="Compact"/>
              <w:jc w:val="right"/>
            </w:pPr>
            <w:r>
              <w:t xml:space="preserve">5.6</w:t>
            </w:r>
          </w:p>
        </w:tc>
        <w:tc>
          <w:p>
            <w:pPr>
              <w:pStyle w:val="Compact"/>
              <w:jc w:val="right"/>
            </w:pPr>
            <w:r>
              <w:t xml:space="preserve">9.0</w:t>
            </w:r>
          </w:p>
        </w:tc>
      </w:tr>
    </w:tbl>
    <w:p>
      <w:pPr>
        <w:pStyle w:val="BodyText"/>
      </w:pPr>
      <w:r>
        <w:t xml:space="preserve"> </w:t>
      </w:r>
    </w:p>
    <w:p>
      <w:pPr>
        <w:pStyle w:val="CaptionedFigure"/>
      </w:pPr>
      <w:r>
        <w:drawing>
          <wp:inline>
            <wp:extent cx="4587290" cy="3669832"/>
            <wp:effectExtent b="0" l="0" r="0" t="0"/>
            <wp:docPr descr="Figure 11:  DOC from each monitoring site grouped by collection method (synoptic Grab vs. Vertical Rack samples) in the wet season only." title="" id="1" name="Picture"/>
            <a:graphic>
              <a:graphicData uri="http://schemas.openxmlformats.org/drawingml/2006/picture">
                <pic:pic>
                  <pic:nvPicPr>
                    <pic:cNvPr descr="R-outputs_UBC-forWater-MSc_HMc/figures/Ch2_subbasin_GvsR_WETseason-ridgeplot.png" id="0" name="Picture"/>
                    <pic:cNvPicPr>
                      <a:picLocks noChangeArrowheads="1" noChangeAspect="1"/>
                    </pic:cNvPicPr>
                  </pic:nvPicPr>
                  <pic:blipFill>
                    <a:blip r:embed="rId7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DOC from each monitoring site grouped by collection method (synoptic Grab vs. Vertical Rack samples) in the wet season only.</w:t>
      </w:r>
    </w:p>
    <w:p>
      <w:pPr>
        <w:pStyle w:val="BodyText"/>
      </w:pPr>
      <w:r>
        <w:t xml:space="preserve"> </w:t>
      </w:r>
    </w:p>
    <w:p>
      <w:pPr>
        <w:pStyle w:val="BodyText"/>
      </w:pPr>
      <w:r>
        <w:t xml:space="preserve">A similar range in DOC concentrations were collected by both Grab and Rack sampling at Weeks, though Rack sampling collected a greater representation of all concentrations. Leech head was the only site where the maximum DOC concentration was obtained by Grab sampling (11.6 mg/L), rather than Rack (max 10.6 mg/L).</w:t>
      </w:r>
    </w:p>
    <w:p>
      <w:pPr>
        <w:pStyle w:val="BodyText"/>
      </w:pPr>
      <w:r>
        <w:t xml:space="preserve"> </w:t>
      </w:r>
    </w:p>
    <w:p>
      <w:pPr>
        <w:pStyle w:val="Heading5"/>
      </w:pPr>
      <w:bookmarkStart w:id="76" w:name="seasonal-changes-in-nom-character"/>
      <w:r>
        <w:t xml:space="preserve">Seasonal changes in NOM character</w:t>
      </w:r>
      <w:bookmarkEnd w:id="76"/>
    </w:p>
    <w:p>
      <w:pPr>
        <w:pStyle w:val="FirstParagraph"/>
      </w:pPr>
      <w:r>
        <w:t xml:space="preserve">To evaluate if (and when) molecular character of synoptic stream samples shifted, DOC concentrations (as NPOC) were compared to specific absorbance coefficients at 254 nm (SAC</w:t>
      </w:r>
      <w:r>
        <w:rPr>
          <w:vertAlign w:val="subscript"/>
        </w:rPr>
        <w:t xml:space="preserve">254</w:t>
      </w:r>
      <w:r>
        <w:t xml:space="preserve">, used by the spectro::lyser to estimate DOC). DOC concentration was well correlated with SAC</w:t>
      </w:r>
      <w:r>
        <w:rPr>
          <w:vertAlign w:val="subscript"/>
        </w:rPr>
        <w:t xml:space="preserve">254</w:t>
      </w:r>
      <w:r>
        <w:t xml:space="preserve"> </w:t>
      </w:r>
      <w:r>
        <w:t xml:space="preserve">during the wet season, but the relationship was not as tight in the dry season or during the transition from dry to wet seasons in the first-flush event (Figure</w:t>
      </w:r>
      <w:r>
        <w:t xml:space="preserve"> </w:t>
      </w:r>
      <w:r>
        <w:t xml:space="preserve">12</w:t>
      </w:r>
      <w:r>
        <w:t xml:space="preserve">). The separation of wet and dry season samples NOM character suggests that aqueous NOM in the GVSWA had more aromatic character (more humic-like, allochthonous NOM) during the wet-season than during the dry-season. NOM in the dry season had comparable concentrations to the wet season but the absorbance at 254 nm was not as strongly elated, leading to weaker NOM spectral absorbance relationships.</w:t>
      </w:r>
    </w:p>
    <w:p>
      <w:pPr>
        <w:pStyle w:val="BodyText"/>
      </w:pPr>
      <w:r>
        <w:t xml:space="preserve"> </w:t>
      </w:r>
    </w:p>
    <w:p>
      <w:pPr>
        <w:pStyle w:val="CaptionedFigure"/>
      </w:pPr>
      <w:r>
        <w:drawing>
          <wp:inline>
            <wp:extent cx="4587290" cy="4587290"/>
            <wp:effectExtent b="0" l="0" r="0" t="0"/>
            <wp:docPr descr="Figure 12:  Dissolved organic carbon concentration (DOC) plotted against spectral absorbance coefficient at 254 nm (SAC254, m-1) with results grouped by sampling season. The inset shows DOC (as NPOC) plotted against DOC estimated by the spectro::lyser with an internal calibration file referenced to SAC254, where the dashed lined indicates best fit (1:1)." title="" id="1" name="Picture"/>
            <a:graphic>
              <a:graphicData uri="http://schemas.openxmlformats.org/drawingml/2006/picture">
                <pic:pic>
                  <pic:nvPicPr>
                    <pic:cNvPr descr="R-outputs_UBC-forWater-MSc_HMc/figures/Ch2_DOC-SAC254_seasonal_with-Inset.png" id="0" name="Picture"/>
                    <pic:cNvPicPr>
                      <a:picLocks noChangeArrowheads="1" noChangeAspect="1"/>
                    </pic:cNvPicPr>
                  </pic:nvPicPr>
                  <pic:blipFill>
                    <a:blip r:embed="rId77"/>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with results grouped by sampling season. The inset shows DOC (as NPOC) plotted against DOC estimated by the spectro::lyser with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 </w:t>
      </w:r>
    </w:p>
    <w:p>
      <w:pPr>
        <w:pStyle w:val="BodyText"/>
      </w:pPr>
      <w:r>
        <w:t xml:space="preserve">These results show a seasonal shift in NOM character, from more aliphatic NOM in the dry season to more aromatic NOM in the wet season. The wet-season NOM character caused positive bias in absorbance-based DOC estimates and dry-season sample characteristics lead to negative bias in UV-based DOC estimates. This suggests that spectral estimates of DOC should be evaluated carefully and that a season-specific site-based calibration should be conducted if DOC is to be estimated by UV-Vis absorbance.</w:t>
      </w:r>
    </w:p>
    <w:p>
      <w:pPr>
        <w:pStyle w:val="BodyText"/>
      </w:pPr>
      <w:r>
        <w:t xml:space="preserve"> </w:t>
      </w:r>
    </w:p>
    <w:p>
      <w:pPr>
        <w:pStyle w:val="Heading3"/>
      </w:pPr>
      <w:bookmarkStart w:id="78" w:name="discussion"/>
      <w:r>
        <w:t xml:space="preserve">Discussion</w:t>
      </w:r>
      <w:bookmarkEnd w:id="78"/>
    </w:p>
    <w:p>
      <w:pPr>
        <w:pStyle w:val="FirstParagraph"/>
      </w:pPr>
      <w:r>
        <w:t xml:space="preserve"> </w:t>
      </w:r>
    </w:p>
    <w:p>
      <w:pPr>
        <w:pStyle w:val="BodyText"/>
      </w:pPr>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w:t>
      </w:r>
      <w:r>
        <w:t xml:space="preserve"> </w:t>
      </w:r>
      <w:r>
        <w:t xml:space="preserve">While higher mean DOC was observed in event-based samples, Rack sample results did not have greater variance in concentrations compared to Grab samples, which was surprising. Perhaps hydrologic pulses transport higher concentrations that remain relatively stable throughout the rising limb of the hydrograph. In a west coast small-basins (&lt; 1 km</w:t>
      </w:r>
      <w:r>
        <w:rPr>
          <w:vertAlign w:val="superscript"/>
        </w:rPr>
        <w:t xml:space="preserve">2</w:t>
      </w:r>
      <w:r>
        <w:t xml:space="preserve">) study in the H. J. Andrews Experimental Forest (Oregon, CA) pre-storm DOC was measured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Evaluating the Leech WSA monitoring site data more closely with respect to event-based changes would allow for a more detailed understanding of relationships between streamflow and NOM dynamics.</w:t>
      </w:r>
    </w:p>
    <w:p>
      <w:pPr>
        <w:pStyle w:val="BodyText"/>
      </w:pPr>
      <w:r>
        <w:t xml:space="preserve"> </w:t>
      </w:r>
    </w:p>
    <w:p>
      <w:pPr>
        <w:pStyle w:val="BodyText"/>
      </w:pPr>
      <w:r>
        <w:t xml:space="preserve">Rack sampling also more than doubled the number of samples that would have been collected through Grab sampling alone. Therefore, the Vertical Rack method was a useful tool for collection of event-based samples with increased sampling frequency. Questionable sample hold-times resulted in a few occasions when logistics or high water limited safe immediate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BodyText"/>
      </w:pPr>
      <w:r>
        <w:t xml:space="preserve">Weeks creek had higher aromaticity than all of the other sites, which was likely due to inputs from Weeks Lake and its surrounding wetlands. Spatially,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Weeks crk,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NOM character at the West Leech site had high aromaticity compared to other higher-order streams, and showed considerable event-based changes in NOM character and concentration, but it’s not clear why.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synoptically sampled sub-basin that did not have metamorphic parent-material, it would be interesting to evaluate watershed features to identify possible drivers for NOM dynamics.</w:t>
      </w:r>
    </w:p>
    <w:p>
      <w:pPr>
        <w:pStyle w:val="BodyText"/>
      </w:pPr>
      <w:r>
        <w:t xml:space="preserve"> </w:t>
      </w:r>
    </w:p>
    <w:p>
      <w:pPr>
        <w:pStyle w:val="BodyText"/>
      </w:pPr>
      <w:r>
        <w:t xml:space="preserve">Of the main tributaries to the Leech River mainstem, Cragg crk had the lowest DOC and least aromatic character while West Leech DOC was higher and more aromatic. West Leech also showed greater range in DOC and NOM character during event-based sampling, which suggests that theories of the pulse shunt concept could be particularly relevant in the West Leech River sub-basin (more in next chapter).</w:t>
      </w:r>
    </w:p>
    <w:p>
      <w:pPr>
        <w:pStyle w:val="BodyText"/>
      </w:pPr>
      <w:r>
        <w:t xml:space="preserve"> </w:t>
      </w:r>
    </w:p>
    <w:p>
      <w:pPr>
        <w:pStyle w:val="BodyText"/>
      </w:pPr>
      <w:r>
        <w:t xml:space="preserve">The longitudinal attenuation of DOC concentration and NOM character suggests that there is a downstream dilution effect, which implies that if a disturbance in headwater systems were to affect NOM (as well as related water quality parameters), the effect would be greatly reduced at the Leech Tunnel. This is encouraging for possible experimental forest fuel treatments (e.g. prescribed burning) in the Leech WSA headwaters. The scaling of DOC from upstream to downstream also bodes well for future inter-basin transfers and drinking water treatability, as lower DOC concentrations 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pPr>
        <w:pStyle w:val="BodyText"/>
      </w:pPr>
      <w:r>
        <w:t xml:space="preserve"> </w:t>
      </w:r>
    </w:p>
    <w:p>
      <w:pPr>
        <w:pStyle w:val="BodyText"/>
      </w:pPr>
      <w:r>
        <w:t xml:space="preserve">Temporally, DOC concentrations across the GVWSA followed a sinusoidal pattern over time. The differences between seasonal DOC means were negligible; both wet and dry seasons had mean DOC of approximately 6 mg/L. This was higher than the recommended 4 mg/L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DOC concentrations in the GVWSA were similar to concentrations measured in Malcolm Knapp Research Forest near Maple Ridge on the lower mainland (near Vancouver, BC), where Emily Mistick found a forested basin (0.97 km</w:t>
      </w:r>
      <w:r>
        <w:rPr>
          <w:vertAlign w:val="superscript"/>
        </w:rPr>
        <w:t xml:space="preserve">2</w:t>
      </w:r>
      <w:r>
        <w:t xml:space="preserve">) to have mean baseflow DOC of 4.3 ± 0.8 mg/L with approximately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BodyText"/>
      </w:pPr>
      <w:r>
        <w:t xml:space="preserve">Seasonal changes in the relationship between DOC and spectral absorbance coefficients at 254 nm (SAC</w:t>
      </w:r>
      <w:r>
        <w:rPr>
          <w:vertAlign w:val="subscript"/>
        </w:rPr>
        <w:t xml:space="preserve">254</w:t>
      </w:r>
      <w:r>
        <w:t xml:space="preserve">) 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Heading3"/>
      </w:pPr>
      <w:bookmarkStart w:id="79" w:name="conclusions-and-future-directions"/>
      <w:r>
        <w:t xml:space="preserve">Conclusions and future directions</w:t>
      </w:r>
      <w:bookmarkEnd w:id="79"/>
    </w:p>
    <w:p>
      <w:pPr>
        <w:pStyle w:val="FirstParagraph"/>
      </w:pPr>
      <w:r>
        <w:t xml:space="preserve">The objective of this work was to design a sampling strategy to measure the ranges NOM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DOC concentrations and NOM aromaticity,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While the absolute magnitude of DOC varied between sites, the general temporal trends were similar across the study area. DOC was highest in the early wet season, then progressively decreased with lows during the coldest periods. DOC concentrations increased over the summer, reaching highs for the start of the wet season.</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pPr>
        <w:pStyle w:val="BodyText"/>
      </w:pPr>
      <w:r>
        <w:t xml:space="preserve"> </w:t>
      </w:r>
    </w:p>
    <w:p>
      <w:pPr>
        <w:pStyle w:val="Heading2"/>
      </w:pPr>
      <w:bookmarkStart w:id="80" w:name="Xc55b7e7eb80d04b23b96f83abe7ecba51a07d0c"/>
      <w:r>
        <w:t xml:space="preserve">Assessing Watershed Characteristics and Conditions as Driving Forces for Aqueous Natural Organic Matter Dynamics Across the Leech River Watershed</w:t>
      </w:r>
      <w:bookmarkEnd w:id="80"/>
    </w:p>
    <w:p>
      <w:pPr>
        <w:pStyle w:val="FirstParagraph"/>
      </w:pPr>
      <w:r>
        <w:t xml:space="preserve"> </w:t>
      </w:r>
    </w:p>
    <w:p>
      <w:pPr>
        <w:pStyle w:val="Heading3"/>
      </w:pPr>
      <w:bookmarkStart w:id="81" w:name="synopsis"/>
      <w:r>
        <w:t xml:space="preserve">Synopsis</w:t>
      </w:r>
      <w:bookmarkEnd w:id="81"/>
    </w:p>
    <w:p>
      <w:pPr>
        <w:pStyle w:val="FirstParagraph"/>
      </w:pPr>
      <w:r>
        <w:t xml:space="preserve">The previous chapter showed that across the Greater Victoria Water Supply Area (GVWSA), NOM shifted in character from aliphatic to aromatic from the dry to wet seasons and that event-based sampled had higher DOC concentrations than non-event Grab samples. A surprising range in NOM character was observed at the West Leech sub-basin (20.85 km</w:t>
      </w:r>
      <w:r>
        <w:rPr>
          <w:vertAlign w:val="superscript"/>
        </w:rPr>
        <w:t xml:space="preserve">2</w:t>
      </w:r>
      <w:r>
        <w:t xml:space="preserve">) monitoring site in the Leech WSA. While it wasn’t clear why the ranges in NOM were greater at the West Leech Site compared to other streams of similar size (e.g. Leech-head, 20.59 km</w:t>
      </w:r>
      <w:r>
        <w:rPr>
          <w:vertAlign w:val="superscript"/>
        </w:rPr>
        <w:t xml:space="preserve">2</w:t>
      </w:r>
      <w:r>
        <w:t xml:space="preserve"> </w:t>
      </w:r>
      <w:r>
        <w:t xml:space="preserve">sub-basin, and Cragg creek 28.06 km</w:t>
      </w:r>
      <w:r>
        <w:rPr>
          <w:vertAlign w:val="superscript"/>
        </w:rPr>
        <w:t xml:space="preserve">2</w:t>
      </w:r>
      <w:r>
        <w:t xml:space="preserve"> </w:t>
      </w:r>
      <w:r>
        <w:t xml:space="preserve">sub-basin) one possibility was the difference in subsurface geology that set the West leech sub-basin apart from other synoptically sampled sites. In this chapter, watershed characteristics and conditions are evaluated to explore possible drivers for change NOM concentration and character across six monitoring sites in the Leech WSA.</w:t>
      </w:r>
    </w:p>
    <w:p>
      <w:pPr>
        <w:pStyle w:val="BodyText"/>
      </w:pPr>
      <w:r>
        <w:t xml:space="preserve"> </w:t>
      </w:r>
    </w:p>
    <w:p>
      <w:pPr>
        <w:pStyle w:val="Heading3"/>
      </w:pPr>
      <w:bookmarkStart w:id="82" w:name="methods"/>
      <w:r>
        <w:t xml:space="preserve">Methods</w:t>
      </w:r>
      <w:bookmarkEnd w:id="82"/>
    </w:p>
    <w:p>
      <w:pPr>
        <w:pStyle w:val="Heading4"/>
      </w:pPr>
      <w:bookmarkStart w:id="83" w:name="site-details"/>
      <w:r>
        <w:t xml:space="preserve">Site details</w:t>
      </w:r>
      <w:bookmarkEnd w:id="83"/>
    </w:p>
    <w:p>
      <w:pPr>
        <w:pStyle w:val="FirstParagraph"/>
      </w:pPr>
      <w:r>
        <w:t xml:space="preserve">Sample collection and analysis follow the methods detailed in Chapter 2. The study sites of this chapter focus only on the six Leech WSA monitoring sites (Figure</w:t>
      </w:r>
      <w:r>
        <w:t xml:space="preserve"> </w:t>
      </w:r>
      <w:r>
        <w:t xml:space="preserve">13</w:t>
      </w:r>
      <w:r>
        <w:t xml:space="preserve">). Nested catchments of the Leech River system that were equipped with Vertical Rack samplers included two headwater streams, Weeks and Chris Creek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sub-basin, below the confluence of those two headwater streams (site 3, 20.6 km</w:t>
      </w:r>
      <w:r>
        <w:rPr>
          <w:vertAlign w:val="superscript"/>
        </w:rPr>
        <w:t xml:space="preserve">2</w:t>
      </w:r>
      <w:r>
        <w:t xml:space="preserve">); two major tributaries that feed the Leech, Cragg creek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encompassed the entire Leech WSA drainage area above the point of diversion (95.3 km</w:t>
      </w:r>
      <w:r>
        <w:rPr>
          <w:vertAlign w:val="superscript"/>
        </w:rPr>
        <w:t xml:space="preserve">2</w:t>
      </w:r>
      <w:r>
        <w:t xml:space="preserve">).</w:t>
      </w:r>
    </w:p>
    <w:p>
      <w:pPr>
        <w:pStyle w:val="BodyText"/>
      </w:pPr>
      <w:r>
        <w:t xml:space="preserve"> </w:t>
      </w:r>
    </w:p>
    <w:p>
      <w:pPr>
        <w:pStyle w:val="CaptionedFigure"/>
      </w:pPr>
      <w:r>
        <w:drawing>
          <wp:inline>
            <wp:extent cx="5943600" cy="5976414"/>
            <wp:effectExtent b="0" l="0" r="0" t="0"/>
            <wp:docPr descr="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4"/>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w:t>
      </w:r>
    </w:p>
    <w:p>
      <w:pPr>
        <w:pStyle w:val="BodyText"/>
      </w:pPr>
      <w:r>
        <w:t xml:space="preserve"> </w:t>
      </w:r>
    </w:p>
    <w:p>
      <w:pPr>
        <w:pStyle w:val="BodyText"/>
      </w:pPr>
      <w:r>
        <w:t xml:space="preserve">Weeks Creek (site 1), had the greatest proportion of wetland and open water compared to the other sub-basins (Table</w:t>
      </w:r>
      <w:r>
        <w:t xml:space="preserve"> </w:t>
      </w:r>
      <w:r>
        <w:t xml:space="preserve">13</w:t>
      </w:r>
      <w:r>
        <w:t xml:space="preserve">). Chris Creek (site 2) and Cragg creek (site 4) had no metasedimentary parent material (argillite-metagraywacke or metagraywacke). Cragg creek, draining from the east, was the only sub-basin with predominantly metamorphic parent material (wark-gneiss, 78%). West Leech (site 5) was the only sub-basin that did not have wark-gneiss nor chert-argillite-volcanic groups as parent materials and was the only sub-basin of the Metchosin igneous complex (16% Methchosin volcanics). Like Weeks basin (site 1), which also drains from the West, WestLeech is predominantly underlain by argillite-metagreywacke (metasedimentary parent material).</w:t>
      </w:r>
    </w:p>
    <w:p>
      <w:pPr>
        <w:pStyle w:val="BodyText"/>
      </w:pPr>
      <w:r>
        <w:t xml:space="preserve"> </w:t>
      </w:r>
    </w:p>
    <w:p>
      <w:pPr>
        <w:pStyle w:val="BodyText"/>
      </w:pPr>
      <w:r>
        <w:t xml:space="preserve">Most heavily harvested over the past 31 years was the Chris crk sub-basin (63% harvested), then Leech-head and Cragg crk sub-basins (43% and 41% harvested). West Leech was the least harvested between 1980 and 2011 (26%), followed by Weeks crk sub-basin (28%) and Leech Tunnel (34%).</w:t>
      </w:r>
    </w:p>
    <w:p>
      <w:pPr>
        <w:pStyle w:val="BodyText"/>
      </w:pPr>
      <w:r>
        <w:t xml:space="preserve"> </w:t>
      </w:r>
    </w:p>
    <w:p>
      <w:pPr>
        <w:pStyle w:val="TableCaption"/>
      </w:pPr>
      <w:r>
        <w:t xml:space="preserve">Table 13: Summary of Leech Watershed Characteristics for Monitoring Site Sub-basins</w:t>
      </w:r>
    </w:p>
    <w:tbl>
      <w:tblPr>
        <w:tblStyle w:val="Table"/>
        <w:tblW w:type="pct" w:w="5000.0"/>
        <w:tblLook w:firstRow="1"/>
        <w:tblCaption w:val="Table 13: Summary of Leech Watershed Characteristics for Monitoring Site Sub-basins"/>
      </w:tblPr>
      <w:tblGrid>
        <w:gridCol w:w="1793"/>
        <w:gridCol w:w="547"/>
        <w:gridCol w:w="547"/>
        <w:gridCol w:w="896"/>
        <w:gridCol w:w="796"/>
        <w:gridCol w:w="796"/>
        <w:gridCol w:w="1643"/>
        <w:gridCol w:w="149"/>
        <w:gridCol w:w="149"/>
        <w:gridCol w:w="199"/>
        <w:gridCol w:w="199"/>
        <w:gridCol w:w="199"/>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Weeks crk</w:t>
            </w:r>
          </w:p>
        </w:tc>
        <w:tc>
          <w:tcPr>
            <w:tcBorders>
              <w:bottom w:val="single"/>
            </w:tcBorders>
            <w:vAlign w:val="bottom"/>
          </w:tcPr>
          <w:p>
            <w:pPr>
              <w:pStyle w:val="Compact"/>
              <w:jc w:val="left"/>
            </w:pPr>
            <w:r>
              <w:t xml:space="preserve">Chris crk</w:t>
            </w:r>
          </w:p>
        </w:tc>
        <w:tc>
          <w:tcPr>
            <w:tcBorders>
              <w:bottom w:val="single"/>
            </w:tcBorders>
            <w:vAlign w:val="bottom"/>
          </w:tcPr>
          <w:p>
            <w:pPr>
              <w:pStyle w:val="Compact"/>
              <w:jc w:val="left"/>
            </w:pPr>
            <w:r>
              <w:t xml:space="preserve">Leech-head</w:t>
            </w:r>
          </w:p>
        </w:tc>
        <w:tc>
          <w:tcPr>
            <w:tcBorders>
              <w:bottom w:val="single"/>
            </w:tcBorders>
            <w:vAlign w:val="bottom"/>
          </w:tcPr>
          <w:p>
            <w:pPr>
              <w:pStyle w:val="Compact"/>
              <w:jc w:val="left"/>
            </w:pPr>
            <w:r>
              <w:t xml:space="preserve">Craggcrk</w:t>
            </w:r>
          </w:p>
        </w:tc>
        <w:tc>
          <w:tcPr>
            <w:tcBorders>
              <w:bottom w:val="single"/>
            </w:tcBorders>
            <w:vAlign w:val="bottom"/>
          </w:tcPr>
          <w:p>
            <w:pPr>
              <w:pStyle w:val="Compact"/>
              <w:jc w:val="left"/>
            </w:pPr>
            <w:r>
              <w:t xml:space="preserve">West Leech</w:t>
            </w:r>
          </w:p>
        </w:tc>
        <w:tc>
          <w:tcPr>
            <w:tcBorders>
              <w:bottom w:val="single"/>
            </w:tcBorders>
            <w:vAlign w:val="bottom"/>
          </w:tcPr>
          <w:p>
            <w:pPr>
              <w:pStyle w:val="Compact"/>
              <w:jc w:val="left"/>
            </w:pPr>
            <w:r>
              <w:t xml:space="preserve">Leech Tunnel</w:t>
            </w:r>
          </w:p>
        </w:tc>
        <w:tc>
          <w:tcPr>
            <w:tcBorders>
              <w:bottom w:val="single"/>
            </w:tcBorders>
            <w:vAlign w:val="bottom"/>
          </w:tcPr>
          <w:p>
            <w:pPr>
              <w:pStyle w:val="Compact"/>
              <w:jc w:val="left"/>
            </w:pPr>
            <w:r>
              <w:t xml:space="preserve">X8</w:t>
            </w:r>
          </w:p>
        </w:tc>
        <w:tc>
          <w:tcPr>
            <w:tcBorders>
              <w:bottom w:val="single"/>
            </w:tcBorders>
            <w:vAlign w:val="bottom"/>
          </w:tcPr>
          <w:p>
            <w:pPr>
              <w:pStyle w:val="Compact"/>
              <w:jc w:val="left"/>
            </w:pPr>
            <w:r>
              <w:t xml:space="preserve">X9</w:t>
            </w:r>
          </w:p>
        </w:tc>
        <w:tc>
          <w:tcPr>
            <w:tcBorders>
              <w:bottom w:val="single"/>
            </w:tcBorders>
            <w:vAlign w:val="bottom"/>
          </w:tcPr>
          <w:p>
            <w:pPr>
              <w:pStyle w:val="Compact"/>
              <w:jc w:val="left"/>
            </w:pPr>
            <w:r>
              <w:t xml:space="preserve">X10</w:t>
            </w:r>
          </w:p>
        </w:tc>
        <w:tc>
          <w:tcPr>
            <w:tcBorders>
              <w:bottom w:val="single"/>
            </w:tcBorders>
            <w:vAlign w:val="bottom"/>
          </w:tcPr>
          <w:p>
            <w:pPr>
              <w:pStyle w:val="Compact"/>
              <w:jc w:val="left"/>
            </w:pPr>
            <w:r>
              <w:t xml:space="preserve">X11</w:t>
            </w:r>
          </w:p>
        </w:tc>
        <w:tc>
          <w:tcPr>
            <w:tcBorders>
              <w:bottom w:val="single"/>
            </w:tcBorders>
            <w:vAlign w:val="bottom"/>
          </w:tcPr>
          <w:p>
            <w:pPr>
              <w:pStyle w:val="Compact"/>
              <w:jc w:val="left"/>
            </w:pPr>
            <w:r>
              <w:t xml:space="preserve">X12</w:t>
            </w:r>
          </w:p>
        </w:tc>
      </w:tr>
      <w:tr>
        <w:tc>
          <w:p>
            <w:pPr>
              <w:pStyle w:val="Compact"/>
              <w:jc w:val="left"/>
            </w:pPr>
            <w:r>
              <w:t xml:space="preserve">Latitude</w:t>
            </w:r>
          </w:p>
        </w:tc>
        <w:tc>
          <w:p>
            <w:pPr>
              <w:pStyle w:val="Compact"/>
              <w:jc w:val="left"/>
            </w:pPr>
            <w:r>
              <w:t xml:space="preserve">48.5759</w:t>
            </w:r>
          </w:p>
        </w:tc>
        <w:tc>
          <w:p>
            <w:pPr>
              <w:pStyle w:val="Compact"/>
              <w:jc w:val="left"/>
            </w:pPr>
            <w:r>
              <w:t xml:space="preserve">48.5769</w:t>
            </w:r>
          </w:p>
        </w:tc>
        <w:tc>
          <w:p>
            <w:pPr>
              <w:pStyle w:val="Compact"/>
              <w:jc w:val="left"/>
            </w:pPr>
            <w:r>
              <w:t xml:space="preserve">48.5666</w:t>
            </w:r>
          </w:p>
        </w:tc>
        <w:tc>
          <w:p>
            <w:pPr>
              <w:pStyle w:val="Compact"/>
              <w:jc w:val="left"/>
            </w:pPr>
            <w:r>
              <w:t xml:space="preserve">48.5486</w:t>
            </w:r>
          </w:p>
        </w:tc>
        <w:tc>
          <w:p>
            <w:pPr>
              <w:pStyle w:val="Compact"/>
              <w:jc w:val="left"/>
            </w:pPr>
            <w:r>
              <w:t xml:space="preserve">48.5064</w:t>
            </w:r>
          </w:p>
        </w:tc>
        <w:tc>
          <w:p>
            <w:pPr>
              <w:pStyle w:val="Compact"/>
              <w:jc w:val="left"/>
            </w:pPr>
            <w:r>
              <w:t xml:space="preserve">48.5069</w:t>
            </w:r>
          </w:p>
        </w:tc>
        <w:tc>
          <w:p/>
        </w:tc>
        <w:tc>
          <w:p/>
        </w:tc>
        <w:tc>
          <w:p/>
        </w:tc>
        <w:tc>
          <w:p/>
        </w:tc>
        <w:tc>
          <w:p/>
        </w:tc>
      </w:tr>
      <w:tr>
        <w:tc>
          <w:p>
            <w:pPr>
              <w:pStyle w:val="Compact"/>
              <w:jc w:val="left"/>
            </w:pPr>
            <w:r>
              <w:t xml:space="preserve">Longitude</w:t>
            </w:r>
          </w:p>
        </w:tc>
        <w:tc>
          <w:p>
            <w:pPr>
              <w:pStyle w:val="Compact"/>
              <w:jc w:val="left"/>
            </w:pPr>
            <w:r>
              <w:t xml:space="preserve">-123.844</w:t>
            </w:r>
          </w:p>
        </w:tc>
        <w:tc>
          <w:p>
            <w:pPr>
              <w:pStyle w:val="Compact"/>
              <w:jc w:val="left"/>
            </w:pPr>
            <w:r>
              <w:t xml:space="preserve">-123.84</w:t>
            </w:r>
          </w:p>
        </w:tc>
        <w:tc>
          <w:p>
            <w:pPr>
              <w:pStyle w:val="Compact"/>
              <w:jc w:val="left"/>
            </w:pPr>
            <w:r>
              <w:t xml:space="preserve">-123.8257</w:t>
            </w:r>
          </w:p>
        </w:tc>
        <w:tc>
          <w:p>
            <w:pPr>
              <w:pStyle w:val="Compact"/>
              <w:jc w:val="left"/>
            </w:pPr>
            <w:r>
              <w:t xml:space="preserve">-123.7714</w:t>
            </w:r>
          </w:p>
        </w:tc>
        <w:tc>
          <w:p>
            <w:pPr>
              <w:pStyle w:val="Compact"/>
              <w:jc w:val="left"/>
            </w:pPr>
            <w:r>
              <w:t xml:space="preserve">-123.7862</w:t>
            </w:r>
          </w:p>
        </w:tc>
        <w:tc>
          <w:p>
            <w:pPr>
              <w:pStyle w:val="Compact"/>
              <w:jc w:val="left"/>
            </w:pPr>
            <w:r>
              <w:t xml:space="preserve">-123.768</w:t>
            </w:r>
          </w:p>
        </w:tc>
        <w:tc>
          <w:p/>
        </w:tc>
        <w:tc>
          <w:p/>
        </w:tc>
        <w:tc>
          <w:p/>
        </w:tc>
        <w:tc>
          <w:p/>
        </w:tc>
        <w:tc>
          <w:p/>
        </w:tc>
      </w:tr>
      <w:tr>
        <w:tc>
          <w:p>
            <w:pPr>
              <w:pStyle w:val="Compact"/>
              <w:jc w:val="left"/>
            </w:pPr>
            <w:r>
              <w:t xml:space="preserve">Interest / characteristic</w:t>
            </w:r>
          </w:p>
        </w:tc>
        <w:tc>
          <w:p>
            <w:pPr>
              <w:pStyle w:val="Compact"/>
              <w:jc w:val="left"/>
            </w:pPr>
            <w:r>
              <w:t xml:space="preserve">Headwaters</w:t>
            </w:r>
          </w:p>
        </w:tc>
        <w:tc>
          <w:p>
            <w:pPr>
              <w:pStyle w:val="Compact"/>
              <w:jc w:val="left"/>
            </w:pPr>
            <w:r>
              <w:t xml:space="preserve">Headwaters</w:t>
            </w:r>
          </w:p>
        </w:tc>
        <w:tc>
          <w:p>
            <w:pPr>
              <w:pStyle w:val="Compact"/>
              <w:jc w:val="left"/>
            </w:pPr>
            <w:r>
              <w:t xml:space="preserve">Head of Leech Rv.</w:t>
            </w:r>
          </w:p>
        </w:tc>
        <w:tc>
          <w:p>
            <w:pPr>
              <w:pStyle w:val="Compact"/>
              <w:jc w:val="left"/>
            </w:pPr>
            <w:r>
              <w:t xml:space="preserve">Major tributary</w:t>
            </w:r>
          </w:p>
        </w:tc>
        <w:tc>
          <w:p>
            <w:pPr>
              <w:pStyle w:val="Compact"/>
              <w:jc w:val="left"/>
            </w:pPr>
            <w:r>
              <w:t xml:space="preserve">Major tributary</w:t>
            </w:r>
          </w:p>
        </w:tc>
        <w:tc>
          <w:p>
            <w:pPr>
              <w:pStyle w:val="Compact"/>
              <w:jc w:val="left"/>
            </w:pPr>
            <w:r>
              <w:t xml:space="preserve">Mainstem, future diversion point</w:t>
            </w:r>
          </w:p>
        </w:tc>
        <w:tc>
          <w:p/>
        </w:tc>
        <w:tc>
          <w:p/>
        </w:tc>
        <w:tc>
          <w:p/>
        </w:tc>
        <w:tc>
          <w:p/>
        </w:tc>
        <w:tc>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c>
          <w:p/>
        </w:tc>
        <w:tc>
          <w:p/>
        </w:tc>
        <w:tc>
          <w:p/>
        </w:tc>
        <w:tc>
          <w:p/>
        </w:tc>
        <w:tc>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c>
          <w:p/>
        </w:tc>
        <w:tc>
          <w:p/>
        </w:tc>
        <w:tc>
          <w:p/>
        </w:tc>
        <w:tc>
          <w:p/>
        </w:tc>
        <w:tc>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c>
          <w:p/>
        </w:tc>
        <w:tc>
          <w:p/>
        </w:tc>
        <w:tc>
          <w:p/>
        </w:tc>
        <w:tc>
          <w:p/>
        </w:tc>
        <w:tc>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c>
          <w:p/>
        </w:tc>
        <w:tc>
          <w:p/>
        </w:tc>
        <w:tc>
          <w:p/>
        </w:tc>
        <w:tc>
          <w:p/>
        </w:tc>
        <w:tc>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c>
          <w:p/>
        </w:tc>
        <w:tc>
          <w:p/>
        </w:tc>
        <w:tc>
          <w:p/>
        </w:tc>
        <w:tc>
          <w:p/>
        </w:tc>
        <w:tc>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c>
          <w:p/>
        </w:tc>
        <w:tc>
          <w:p/>
        </w:tc>
        <w:tc>
          <w:p/>
        </w:tc>
        <w:tc>
          <w:p/>
        </w:tc>
        <w:tc>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c>
          <w:p/>
        </w:tc>
        <w:tc>
          <w:p/>
        </w:tc>
        <w:tc>
          <w:p/>
        </w:tc>
        <w:tc>
          <w:p/>
        </w:tc>
        <w:tc>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c>
          <w:p/>
        </w:tc>
        <w:tc>
          <w:p/>
        </w:tc>
        <w:tc>
          <w:p/>
        </w:tc>
        <w:tc>
          <w:p/>
        </w:tc>
        <w:tc>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c>
          <w:p/>
        </w:tc>
        <w:tc>
          <w:p/>
        </w:tc>
        <w:tc>
          <w:p/>
        </w:tc>
        <w:tc>
          <w:p/>
        </w:tc>
        <w:tc>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c>
          <w:p/>
        </w:tc>
        <w:tc>
          <w:p/>
        </w:tc>
        <w:tc>
          <w:p/>
        </w:tc>
        <w:tc>
          <w:p/>
        </w:tc>
        <w:tc>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c>
          <w:p/>
        </w:tc>
        <w:tc>
          <w:p/>
        </w:tc>
        <w:tc>
          <w:p/>
        </w:tc>
        <w:tc>
          <w:p/>
        </w:tc>
        <w:tc>
          <w:p/>
        </w:tc>
      </w:tr>
      <w:tr>
        <w:tc>
          <w:p>
            <w:pPr>
              <w:pStyle w:val="Compact"/>
              <w:jc w:val="left"/>
            </w:pPr>
            <w:r>
              <w:t xml:space="preserve">Colquitz Gneiss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tc>
        <w:tc>
          <w:p/>
        </w:tc>
        <w:tc>
          <w:p/>
        </w:tc>
        <w:tc>
          <w:p/>
        </w:tc>
        <w:tc>
          <w:p/>
        </w:tc>
      </w:tr>
      <w:tr>
        <w:tc>
          <w:p>
            <w:pPr>
              <w:pStyle w:val="Compact"/>
              <w:jc w:val="left"/>
            </w:pPr>
            <w:r>
              <w:t xml:space="preserve">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c>
          <w:p/>
        </w:tc>
        <w:tc>
          <w:p/>
        </w:tc>
        <w:tc>
          <w:p/>
        </w:tc>
        <w:tc>
          <w:p/>
        </w:tc>
        <w:tc>
          <w:p/>
        </w:tc>
      </w:tr>
      <w:tr>
        <w:tc>
          <w:p>
            <w:pPr>
              <w:pStyle w:val="Compact"/>
              <w:jc w:val="left"/>
            </w:pPr>
            <w:r>
              <w:t xml:space="preserve">Limestone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tc>
        <w:tc>
          <w:p/>
        </w:tc>
        <w:tc>
          <w:p/>
        </w:tc>
        <w:tc>
          <w:p/>
        </w:tc>
        <w:tc>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c>
          <w:p/>
        </w:tc>
        <w:tc>
          <w:p/>
        </w:tc>
        <w:tc>
          <w:p/>
        </w:tc>
        <w:tc>
          <w:p/>
        </w:tc>
        <w:tc>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c>
          <w:p/>
        </w:tc>
        <w:tc>
          <w:p/>
        </w:tc>
        <w:tc>
          <w:p/>
        </w:tc>
        <w:tc>
          <w:p/>
        </w:tc>
        <w:tc>
          <w:p/>
        </w:tc>
      </w:tr>
      <w:tr>
        <w:tc>
          <w:p>
            <w:pPr>
              <w:pStyle w:val="Compact"/>
              <w:jc w:val="left"/>
            </w:pPr>
            <w:r>
              <w:t xml:space="preserve">Logging history, 1980-2011 (% area)</w:t>
            </w:r>
          </w:p>
        </w:tc>
        <w:tc>
          <w:p>
            <w:pPr>
              <w:pStyle w:val="Compact"/>
              <w:jc w:val="left"/>
            </w:pPr>
            <w:r>
              <w:t xml:space="preserve">28</w:t>
            </w:r>
          </w:p>
        </w:tc>
        <w:tc>
          <w:p>
            <w:pPr>
              <w:pStyle w:val="Compact"/>
              <w:jc w:val="left"/>
            </w:pPr>
            <w:r>
              <w:t xml:space="preserve">63</w:t>
            </w:r>
          </w:p>
        </w:tc>
        <w:tc>
          <w:p>
            <w:pPr>
              <w:pStyle w:val="Compact"/>
              <w:jc w:val="left"/>
            </w:pPr>
            <w:r>
              <w:t xml:space="preserve">43</w:t>
            </w:r>
          </w:p>
        </w:tc>
        <w:tc>
          <w:p>
            <w:pPr>
              <w:pStyle w:val="Compact"/>
              <w:jc w:val="left"/>
            </w:pPr>
            <w:r>
              <w:t xml:space="preserve">41</w:t>
            </w:r>
          </w:p>
        </w:tc>
        <w:tc>
          <w:p>
            <w:pPr>
              <w:pStyle w:val="Compact"/>
              <w:jc w:val="left"/>
            </w:pPr>
            <w:r>
              <w:t xml:space="preserve">26</w:t>
            </w:r>
          </w:p>
        </w:tc>
        <w:tc>
          <w:p>
            <w:pPr>
              <w:pStyle w:val="Compact"/>
              <w:jc w:val="left"/>
            </w:pPr>
            <w:r>
              <w:t xml:space="preserve">34</w:t>
            </w:r>
          </w:p>
        </w:tc>
        <w:tc>
          <w:p/>
        </w:tc>
        <w:tc>
          <w:p/>
        </w:tc>
        <w:tc>
          <w:p/>
        </w:tc>
        <w:tc>
          <w:p/>
        </w:tc>
        <w:tc>
          <w:p/>
        </w:tc>
      </w:tr>
      <w:tr>
        <w:tc>
          <w:p>
            <w:pPr>
              <w:pStyle w:val="Compact"/>
              <w:jc w:val="left"/>
            </w:pPr>
            <w:r>
              <w:t xml:space="preserve">Tree age (average, years)</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c>
          <w:p/>
        </w:tc>
        <w:tc>
          <w:p/>
        </w:tc>
        <w:tc>
          <w:p/>
        </w:tc>
        <w:tc>
          <w:p/>
        </w:tc>
        <w:tc>
          <w:p/>
        </w:tc>
      </w:tr>
    </w:tbl>
    <w:p>
      <w:pPr>
        <w:pStyle w:val="BodyText"/>
      </w:pPr>
      <w:r>
        <w:t xml:space="preserve"> </w:t>
      </w:r>
    </w:p>
    <w:p>
      <w:pPr>
        <w:pStyle w:val="BodyText"/>
      </w:pPr>
      <w:r>
        <w:t xml:space="preserve">Random Forests were used to explore the watershed characteristics included in Table</w:t>
      </w:r>
      <w:r>
        <w:t xml:space="preserve"> </w:t>
      </w:r>
      <w:r>
        <w:t xml:space="preserve">13</w:t>
      </w:r>
      <w:r>
        <w:t xml:space="preserve">, along with Leech WSA weather data (Chapter 2) and sample results (Chapter 4) to identify variables that were important predictors for DOC concentrations or NOM character. These predictors were explored as possible drivers for NOM change.</w:t>
      </w:r>
    </w:p>
    <w:p>
      <w:pPr>
        <w:pStyle w:val="BodyText"/>
      </w:pPr>
      <w:r>
        <w:t xml:space="preserve"> </w:t>
      </w:r>
    </w:p>
    <w:p>
      <w:pPr>
        <w:pStyle w:val="BodyText"/>
      </w:pPr>
      <w:r>
        <w:t xml:space="preserve">Random Forests are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A Random Forest is composed of a collection of decision trees is.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(good news for analysis of nested catchments). In RF, a set of predictor variables (features) are used to predict the outcome of another variable (the predictant) through supervised learning algorithms,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(CARTs)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The relative importance of each feature is determined by assessing the accuracy of how well the predictant variable is anticipated in the absence or presence of that feature.</w:t>
      </w:r>
    </w:p>
    <w:p>
      <w:pPr>
        <w:pStyle w:val="BodyText"/>
      </w:pPr>
      <w:r>
        <w:t xml:space="preserve"> </w:t>
      </w:r>
    </w:p>
    <w:p>
      <w:pPr>
        <w:pStyle w:val="BodyText"/>
      </w:pPr>
      <w:r>
        <w:t xml:space="preserve">RF has been widely published in hydrologic and water resource research in recent years, particularly in streamflow and water quality studies</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w:t>
      </w:r>
      <w:r>
        <w:t xml:space="preserve"> </w:t>
      </w:r>
      <w:r>
        <w:t xml:space="preserve">{{… refs}}</w:t>
      </w:r>
    </w:p>
    <w:p>
      <w:pPr>
        <w:pStyle w:val="BodyText"/>
      </w:pPr>
      <w:r>
        <w:t xml:space="preserve"> </w:t>
      </w:r>
    </w:p>
    <w:p>
      <w:pPr>
        <w:pStyle w:val="BodyText"/>
      </w:pPr>
      <w:r>
        <w:t xml:space="preserve">The capability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Variable importance measure is a powerful part of Random Forests that evaluates the impact of each predictor variable on predicting a response variable. To assess the relative importance of sub-basin characteristics and conditions, the variable importance measure (VIM) was employed. VIM was assessed through the RF algorithm by removing predictor variables one at a time and measuring the increase in the mean square error (MSE) of prediction in their absence</w:t>
      </w:r>
      <w:r>
        <w:t xml:space="preserve"> </w:t>
      </w:r>
      <w:r>
        <w:t xml:space="preserve">(Breiman</w:t>
      </w:r>
      <w:r>
        <w:t xml:space="preserve"> </w:t>
      </w:r>
      <w:hyperlink w:anchor="ref-Breiman2001">
        <w:r>
          <w:rPr>
            <w:rStyle w:val="Hyperlink"/>
          </w:rPr>
          <w:t xml:space="preserve">2001</w:t>
        </w:r>
      </w:hyperlink>
      <w:r>
        <w:t xml:space="preserve">)</w:t>
      </w:r>
      <w:r>
        <w:t xml:space="preserve">. The other option for VIM assessment is evaluation of the increase in sum of square errors (SSE, node impurity), which may be more appropriate for categorical variables than quantitative variables. Mixing categorical and quantitative variables has shown bias towards variables with many categories, those with many missing values, and those that had strong cross-correlation to other variables</w:t>
      </w:r>
      <w:r>
        <w:t xml:space="preserve"> </w:t>
      </w:r>
      <w:r>
        <w:t xml:space="preserve">(C. Strobl et al.</w:t>
      </w:r>
      <w:r>
        <w:t xml:space="preserve"> </w:t>
      </w:r>
      <w:hyperlink w:anchor="ref-Strobl2008">
        <w:r>
          <w:rPr>
            <w:rStyle w:val="Hyperlink"/>
          </w:rPr>
          <w:t xml:space="preserve">2008</w:t>
        </w:r>
      </w:hyperlink>
      <w:r>
        <w:t xml:space="preserve">)</w:t>
      </w:r>
      <w:r>
        <w:t xml:space="preserve">.</w:t>
      </w:r>
    </w:p>
    <w:p>
      <w:pPr>
        <w:pStyle w:val="BodyText"/>
      </w:pPr>
      <w:r>
        <w:t xml:space="preserve"> </w:t>
      </w:r>
    </w:p>
    <w:p>
      <w:pPr>
        <w:pStyle w:val="Heading4"/>
      </w:pPr>
      <w:bookmarkStart w:id="85" w:name="Xeb3d028e12f35a308f8bb14b0d0c905983784eb"/>
      <w:r>
        <w:t xml:space="preserve">Random Forests predictor variable refinement</w:t>
      </w:r>
      <w:bookmarkEnd w:id="85"/>
    </w:p>
    <w:p>
      <w:pPr>
        <w:pStyle w:val="FirstParagraph"/>
      </w:pPr>
      <w:r>
        <w:t xml:space="preserve">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13</w:t>
      </w:r>
      <w:r>
        <w:t xml:space="preserve">) as well as weather and sampling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w:t>
      </w:r>
    </w:p>
    <w:p>
      <w:pPr>
        <w:pStyle w:val="BodyText"/>
      </w:pPr>
      <w:r>
        <w:t xml:space="preserve"> </w:t>
      </w:r>
    </w:p>
    <w:p>
      <w:pPr>
        <w:pStyle w:val="BodyText"/>
      </w:pPr>
      <w:r>
        <w:t xml:space="preserve">Parameters were filtered to avoid spurious predictions, variables with correlation coefficients greater than 0.65 were removed. Sub-basin slope was correlated with percent wetland cover and forest cover (± 0.74), and forest and wetland were also correlated (-0.97). Thus, wetland and forest percent cover were not included in VIM assessments, and median slope was. Interestingly, the sub-basin percent of Leech River formation parent material (meta-sedimentary, including argillite-metagreywacke (mudstone) and metagreywacke (meta-sandstone)) was correlated (-0.83) with logging history (percent of basin harvested 1980-2011). Anecdotally, the Leech River formation underlies the Weeks and West Leech sub-basins, areas that contained some of the last parcels of land purchased by the CRD from sustained harvest forest management companies. Parent-material variables were refined to metamorphic (wark-gneiss) and igneous (Metchosin volcanics), which did not show cross-correlation to other predictor variables.</w:t>
      </w:r>
    </w:p>
    <w:p>
      <w:pPr>
        <w:pStyle w:val="BodyText"/>
      </w:pPr>
      <w:r>
        <w:t xml:space="preserve"> </w:t>
      </w:r>
    </w:p>
    <w:p>
      <w:pPr>
        <w:pStyle w:val="BodyText"/>
      </w:pPr>
      <w:r>
        <w:t xml:space="preserve">The nine selected predictor variables included:</w:t>
      </w:r>
    </w:p>
    <w:p>
      <w:pPr>
        <w:pStyle w:val="Compact"/>
        <w:numPr>
          <w:numId w:val="1002"/>
          <w:ilvl w:val="0"/>
        </w:numPr>
      </w:pPr>
      <w:r>
        <w:t xml:space="preserve">metamorphic parent-material (wark gneiss, percent of basin)</w:t>
      </w:r>
    </w:p>
    <w:p>
      <w:pPr>
        <w:pStyle w:val="Compact"/>
        <w:numPr>
          <w:numId w:val="1002"/>
          <w:ilvl w:val="0"/>
        </w:numPr>
      </w:pPr>
      <w:r>
        <w:t xml:space="preserve">igneous parent material (Metchosin volcanics &amp; Gabbro stocks, percent of basin)</w:t>
      </w:r>
    </w:p>
    <w:p>
      <w:pPr>
        <w:pStyle w:val="Compact"/>
        <w:numPr>
          <w:numId w:val="1002"/>
          <w:ilvl w:val="0"/>
        </w:numPr>
      </w:pPr>
      <w:r>
        <w:t xml:space="preserve">drainage area (km</w:t>
      </w:r>
      <w:r>
        <w:rPr>
          <w:vertAlign w:val="superscript"/>
        </w:rPr>
        <w:t xml:space="preserve">2</w:t>
      </w:r>
      <w:r>
        <w:t xml:space="preserve">)</w:t>
      </w:r>
    </w:p>
    <w:p>
      <w:pPr>
        <w:pStyle w:val="Compact"/>
        <w:numPr>
          <w:numId w:val="1002"/>
          <w:ilvl w:val="0"/>
        </w:numPr>
      </w:pPr>
      <w:r>
        <w:t xml:space="preserve">median basin slope (degrees)</w:t>
      </w:r>
    </w:p>
    <w:p>
      <w:pPr>
        <w:pStyle w:val="Compact"/>
        <w:numPr>
          <w:numId w:val="1002"/>
          <w:ilvl w:val="0"/>
        </w:numPr>
      </w:pPr>
      <w:r>
        <w:t xml:space="preserve">tree age (average, years)</w:t>
      </w:r>
    </w:p>
    <w:p>
      <w:pPr>
        <w:pStyle w:val="Compact"/>
        <w:numPr>
          <w:numId w:val="1002"/>
          <w:ilvl w:val="0"/>
        </w:numPr>
      </w:pPr>
      <w:r>
        <w:t xml:space="preserve">logging history (harvested 1980-2011, percent of basin)</w:t>
      </w:r>
    </w:p>
    <w:p>
      <w:pPr>
        <w:pStyle w:val="Compact"/>
        <w:numPr>
          <w:numId w:val="1002"/>
          <w:ilvl w:val="0"/>
        </w:numPr>
      </w:pPr>
      <w:r>
        <w:t xml:space="preserve">antecedent 7-day air temperatures (°C)</w:t>
      </w:r>
    </w:p>
    <w:p>
      <w:pPr>
        <w:pStyle w:val="Compact"/>
        <w:numPr>
          <w:numId w:val="1002"/>
          <w:ilvl w:val="0"/>
        </w:numPr>
      </w:pPr>
      <w:r>
        <w:t xml:space="preserve">antecedent 30-day rain (mm, total)</w:t>
      </w:r>
    </w:p>
    <w:p>
      <w:pPr>
        <w:pStyle w:val="Compact"/>
        <w:numPr>
          <w:numId w:val="1002"/>
          <w:ilvl w:val="0"/>
        </w:numPr>
      </w:pPr>
      <w:r>
        <w:t xml:space="preserve">sampling stage (min-max-normalized to account for differences between site installations)</w:t>
      </w:r>
    </w:p>
    <w:p>
      <w:pPr>
        <w:pStyle w:val="FirstParagraph"/>
      </w:pPr>
      <w:r>
        <w:t xml:space="preserve"> </w:t>
      </w:r>
    </w:p>
    <w:p>
      <w:pPr>
        <w:pStyle w:val="BodyText"/>
      </w:pPr>
      <w:r>
        <w:t xml:space="preserve">A 30-day interval was selected for antecedent rain because (1) it was not cross-correlated with antecedent 7-day temperature and (2) it was easier to distinguish from other predictor variables than shorter and longer intervals (e.g. ), and (3) a month of rain should be sufficient to consider as an indicator of antecedent landscape wetness in general (whereas shorter periods may have been lost to interception, evaporation, or evapotranspiration).</w:t>
      </w:r>
    </w:p>
    <w:p>
      <w:pPr>
        <w:pStyle w:val="BodyText"/>
      </w:pPr>
      <w:r>
        <w:t xml:space="preserve"> </w:t>
      </w:r>
    </w:p>
    <w:p>
      <w:pPr>
        <w:pStyle w:val="BodyText"/>
      </w:pPr>
      <w:r>
        <w:t xml:space="preserve">As surface and subsurface characteristics were static values (e.g. basin slope, parent material), it was possible that they might be treated categorically so they were evaluated independent of dynamic weather data to see if there was any shift in calculated importance (as categorical variables mixed with numeric could lead to bias), but the relative results were unchanged so all groups (conditions and characteristics) were evaluated together.</w:t>
      </w:r>
    </w:p>
    <w:p>
      <w:pPr>
        <w:pStyle w:val="BodyText"/>
      </w:pPr>
      <w:r>
        <w:t xml:space="preserve"> </w:t>
      </w:r>
    </w:p>
    <w:p>
      <w:pPr>
        <w:pStyle w:val="BodyText"/>
      </w:pPr>
      <w:r>
        <w:t xml:space="preserve">RF is a black box, and as such a quality assurance variable of random numbers was also included with the watershed characteristics and conditions in the VIM assessment. After ensuring random numbers were calculated to have no predictor importance, the random-number variable was removed (not displayed in results). Following RF VIM analysis, the four watershed variables with relatively greatest predictor importance were further explored by evaluating their relationships with NOM concentration and character.</w:t>
      </w:r>
    </w:p>
    <w:p>
      <w:pPr>
        <w:pStyle w:val="BodyText"/>
      </w:pPr>
      <w:r>
        <w:t xml:space="preserve"> </w:t>
      </w:r>
    </w:p>
    <w:p>
      <w:pPr>
        <w:pStyle w:val="Heading4"/>
      </w:pPr>
      <w:bookmarkStart w:id="86" w:name="hysteresis"/>
      <w:r>
        <w:t xml:space="preserve">Hysteresis</w:t>
      </w:r>
      <w:bookmarkEnd w:id="86"/>
    </w:p>
    <w:p>
      <w:pPr>
        <w:pStyle w:val="FirstParagraph"/>
      </w:pPr>
      <w:r>
        <w:t xml:space="preserve">information about this…</w:t>
      </w:r>
    </w:p>
    <w:p>
      <w:pPr>
        <w:pStyle w:val="BodyText"/>
      </w:pPr>
      <w:r>
        <w:t xml:space="preserve">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w:t>
      </w:r>
    </w:p>
    <w:p>
      <w:pPr>
        <w:pStyle w:val="BodyText"/>
      </w:pPr>
      <w:r>
        <w:t xml:space="preserve"> </w:t>
      </w:r>
    </w:p>
    <w:p>
      <w:pPr>
        <w:pStyle w:val="BodyText"/>
      </w:pPr>
      <w:r>
        <w:t xml:space="preserve">clock-wise hysteresis shows</w:t>
      </w:r>
      <w:r>
        <w:t xml:space="preserve"> </w:t>
      </w:r>
      <w:r>
        <w:t xml:space="preserve">counterclock-wise hysteresis shows….</w:t>
      </w:r>
    </w:p>
    <w:p>
      <w:pPr>
        <w:pStyle w:val="BodyText"/>
      </w:pPr>
      <w:r>
        <w:t xml:space="preserve"> </w:t>
      </w:r>
    </w:p>
    <w:p>
      <w:pPr>
        <w:pStyle w:val="Heading4"/>
      </w:pPr>
      <w:bookmarkStart w:id="87" w:name="evaluating-local-extrema"/>
      <w:r>
        <w:t xml:space="preserve">Evaluating local extrema</w:t>
      </w:r>
      <w:bookmarkEnd w:id="87"/>
    </w:p>
    <w:p>
      <w:pPr>
        <w:pStyle w:val="FirstParagraph"/>
      </w:pPr>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88" w:name="results-of-variable-importance-measure"/>
      <w:r>
        <w:t xml:space="preserve">Results of variable importance measure</w:t>
      </w:r>
      <w:bookmarkEnd w:id="88"/>
    </w:p>
    <w:p>
      <w:pPr>
        <w:pStyle w:val="FirstParagraph"/>
      </w:pPr>
      <w:r>
        <w:t xml:space="preserve">The RF variable importance measure showed that DOC and SAC</w:t>
      </w:r>
      <w:r>
        <w:rPr>
          <w:vertAlign w:val="subscript"/>
        </w:rPr>
        <w:t xml:space="preserve">254</w:t>
      </w:r>
      <w:r>
        <w:t xml:space="preserve"> </w:t>
      </w:r>
      <w:r>
        <w:t xml:space="preserve">were predicted by wet and warm conditions, while E</w:t>
      </w:r>
      <w:r>
        <w:rPr>
          <w:vertAlign w:val="subscript"/>
        </w:rPr>
        <w:t xml:space="preserve">2</w:t>
      </w:r>
      <w:r>
        <w:t xml:space="preserve">:E</w:t>
      </w:r>
      <w:r>
        <w:rPr>
          <w:vertAlign w:val="subscript"/>
        </w:rPr>
        <w:t xml:space="preserve">3</w:t>
      </w:r>
      <w:r>
        <w:t xml:space="preserve"> </w:t>
      </w:r>
      <w:r>
        <w:t xml:space="preserve">wasn’t as impacted by 7-day antecedent temperature but was sensitive to rain and sampling stage.</w:t>
      </w:r>
    </w:p>
    <w:p>
      <w:pPr>
        <w:pStyle w:val="BodyText"/>
      </w:pPr>
      <w:r>
        <w:t xml:space="preserve">For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conditions ranked among the most important variable group, above most watershed characteristics, and all three had antecedent 30-day rain as one of their top 3 predictor variables. Metamorphic parent material was ranked fourth in importance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Igneous parent material was the least important for all three predictants.</w:t>
      </w:r>
    </w:p>
    <w:p>
      <w:pPr>
        <w:pStyle w:val="BodyText"/>
      </w:pPr>
      <w:r>
        <w:t xml:space="preserve">Slope was relatively more important for concentration than it was for character of NOM and sampling stage was more important to character than concentration.</w:t>
      </w:r>
    </w:p>
    <w:p>
      <w:pPr>
        <w:pStyle w:val="BodyText"/>
      </w:pPr>
      <w:r>
        <w:t xml:space="preserve">Tree age and logging history were quite poor for predicting both DOC concentration and SAC</w:t>
      </w:r>
      <w:r>
        <w:rPr>
          <w:vertAlign w:val="subscript"/>
        </w:rPr>
        <w:t xml:space="preserve">254</w:t>
      </w:r>
      <w:r>
        <w:t xml:space="preserve">, and more important for E</w:t>
      </w:r>
      <w:r>
        <w:rPr>
          <w:vertAlign w:val="subscript"/>
        </w:rPr>
        <w:t xml:space="preserve">2</w:t>
      </w:r>
      <w:r>
        <w:t xml:space="preserve">:E</w:t>
      </w:r>
      <w:r>
        <w:rPr>
          <w:vertAlign w:val="subscript"/>
        </w:rPr>
        <w:t xml:space="preserve">3</w:t>
      </w:r>
      <w:r>
        <w:t xml:space="preserve">.</w:t>
      </w:r>
    </w:p>
    <w:p>
      <w:pPr>
        <w:pStyle w:val="BodyText"/>
      </w:pPr>
      <w:r>
        <w:t xml:space="preserve">Drainage area was not found to be particularly important for any of the three predictants (Figure</w:t>
      </w:r>
      <w:r>
        <w:t xml:space="preserve"> </w:t>
      </w:r>
      <w:r>
        <w:t xml:space="preserve">14</w:t>
      </w:r>
      <w:r>
        <w:t xml:space="preserve">).</w:t>
      </w:r>
    </w:p>
    <w:p>
      <w:pPr>
        <w:pStyle w:val="BodyText"/>
      </w:pPr>
      <w:r>
        <w:t xml:space="preserve"> </w:t>
      </w:r>
    </w:p>
    <w:p>
      <w:pPr>
        <w:pStyle w:val="CaptionedFigure"/>
      </w:pPr>
      <w:r>
        <w:drawing>
          <wp:inline>
            <wp:extent cx="5504749" cy="6880936"/>
            <wp:effectExtent b="0" l="0" r="0" t="0"/>
            <wp:docPr descr="Figure 14:  Variable importance for predicting NOM concentration (DOC), molecular aromaticity (SAC254), and aromaticity &amp;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summary_DOC-E2E3-SAC254.png" id="0" name="Picture"/>
                    <pic:cNvPicPr>
                      <a:picLocks noChangeArrowheads="1" noChangeAspect="1"/>
                    </pic:cNvPicPr>
                  </pic:nvPicPr>
                  <pic:blipFill>
                    <a:blip r:embed="rId89"/>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Variable importance for predicting NOM concentration (DOC), molecular aromaticity (SAC</w:t>
      </w:r>
      <w:r>
        <w:rPr>
          <w:vertAlign w:val="subscript"/>
        </w:rPr>
        <w:t xml:space="preserve">254</w:t>
      </w:r>
      <w:r>
        <w:t xml:space="preserve">), and aromaticity &amp;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4"/>
      </w:pPr>
      <w:bookmarkStart w:id="90" w:name="predicting-doc"/>
      <w:r>
        <w:t xml:space="preserve">Predicting DOC</w:t>
      </w:r>
      <w:bookmarkEnd w:id="90"/>
    </w:p>
    <w:p>
      <w:pPr>
        <w:pStyle w:val="FirstParagraph"/>
      </w:pPr>
      <w:r>
        <w:t xml:space="preserve">Antecedent 7-day air temperature was calculated to have the greatest relative importance in predicting DOC concentrations. Upon closer inspection, DOC and 7-day temperature were positively related in the wet season with no obvious relationship in the dry season (Figure</w:t>
      </w:r>
      <w:r>
        <w:t xml:space="preserve"> </w:t>
      </w:r>
      <w:r>
        <w:t xml:space="preserve">15</w:t>
      </w:r>
      <w:r>
        <w:t xml:space="preserve">).</w:t>
      </w:r>
    </w:p>
    <w:p>
      <w:pPr>
        <w:pStyle w:val="BodyText"/>
      </w:pPr>
      <w:r>
        <w:t xml:space="preserve"> </w:t>
      </w:r>
    </w:p>
    <w:p>
      <w:pPr>
        <w:pStyle w:val="CaptionedFigure"/>
      </w:pPr>
      <w:r>
        <w:drawing>
          <wp:inline>
            <wp:extent cx="3669832" cy="3669832"/>
            <wp:effectExtent b="0" l="0" r="0" t="0"/>
            <wp:docPr descr="Figure 15:  Antecedent 7-day air temperature as a predictor variable for concentrations of dissolved organic carbon in the wet and dry seasons of the Leech Water Supply Area (including loess trend line)" title="" id="1" name="Picture"/>
            <a:graphic>
              <a:graphicData uri="http://schemas.openxmlformats.org/drawingml/2006/picture">
                <pic:pic>
                  <pic:nvPicPr>
                    <pic:cNvPr descr="R-outputs_UBC-forWater-MSc_HMc/figures/Ch4_RF_DOC-predictor-1-temp.png" id="0" name="Picture"/>
                    <pic:cNvPicPr>
                      <a:picLocks noChangeArrowheads="1" noChangeAspect="1"/>
                    </pic:cNvPicPr>
                  </pic:nvPicPr>
                  <pic:blipFill>
                    <a:blip r:embed="rId9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Antecedent 7-day air temperature as a predictor variable for concentrations of dissolved organic carbon in the wet and dry seasons of the Leech Water Supply Area (including loess trend line)</w:t>
      </w:r>
    </w:p>
    <w:p>
      <w:pPr>
        <w:pStyle w:val="BodyText"/>
      </w:pPr>
      <w:r>
        <w:t xml:space="preserve"> </w:t>
      </w:r>
    </w:p>
    <w:p>
      <w:pPr>
        <w:pStyle w:val="BodyText"/>
      </w:pPr>
      <w:r>
        <w:t xml:space="preserve">For DOC, antecedent 30-day rain accumulation had the second greatest relative predictor importance. There was a non-linear relationship between the two variables which showed an initial increase in DOC with increasing antecedent wetness, and then a gradual decline in DOC with increasing accumulated rain (Figure</w:t>
      </w:r>
      <w:r>
        <w:t xml:space="preserve"> </w:t>
      </w:r>
      <w:r>
        <w:t xml:space="preserve">16</w:t>
      </w:r>
      <w:r>
        <w:t xml:space="preserve">). Lower order streams (Weeks, Chris, Leech-head) showed a steeper decline in DOC with increasing 30-day antecedent rain.</w:t>
      </w:r>
    </w:p>
    <w:p>
      <w:pPr>
        <w:pStyle w:val="BodyText"/>
      </w:pPr>
      <w:r>
        <w:t xml:space="preserve"> </w:t>
      </w:r>
    </w:p>
    <w:p>
      <w:pPr>
        <w:pStyle w:val="CaptionedFigure"/>
      </w:pPr>
      <w:r>
        <w:drawing>
          <wp:inline>
            <wp:extent cx="3669832" cy="3669832"/>
            <wp:effectExtent b="0" l="0" r="0" t="0"/>
            <wp:docPr descr="Figure 16:  Antecedent 30-day rain as a predictor variable for concentrations of dissolved organic carbon at six sites across the Leech Water Supply Area (including loess trend line)." title="" id="1" name="Picture"/>
            <a:graphic>
              <a:graphicData uri="http://schemas.openxmlformats.org/drawingml/2006/picture">
                <pic:pic>
                  <pic:nvPicPr>
                    <pic:cNvPr descr="R-outputs_UBC-forWater-MSc_HMc/figures/Ch4_RF_DOC-predictor-2-rain.png" id="0" name="Picture"/>
                    <pic:cNvPicPr>
                      <a:picLocks noChangeArrowheads="1" noChangeAspect="1"/>
                    </pic:cNvPicPr>
                  </pic:nvPicPr>
                  <pic:blipFill>
                    <a:blip r:embed="rId9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Antecedent 30-day rain as a predictor variable for concentrations of dissolved organic carbon at six sites across the Leech Water Supply Area (including loess trend line).</w:t>
      </w:r>
    </w:p>
    <w:p>
      <w:pPr>
        <w:pStyle w:val="BodyText"/>
      </w:pPr>
      <w:r>
        <w:t xml:space="preserve"> </w:t>
      </w:r>
    </w:p>
    <w:p>
      <w:pPr>
        <w:pStyle w:val="BodyText"/>
      </w:pPr>
      <w:r>
        <w:t xml:space="preserve">Sub-basin slope ranked third in importance as a predictor for DOC. The relationship between slope and DOC across the six monitoring sites was not linear, but in general lower slope was related to higher DOC (Figure</w:t>
      </w:r>
      <w:r>
        <w:t xml:space="preserve"> </w:t>
      </w:r>
      <w:r>
        <w:t xml:space="preserve">18</w:t>
      </w:r>
      <w:r>
        <w:t xml:space="preserve">). Slope was also negatively correlated to percent wetland, which is known to be linked with high DOC concentrations.</w:t>
      </w:r>
    </w:p>
    <w:p>
      <w:pPr>
        <w:pStyle w:val="BodyText"/>
      </w:pPr>
      <w:r>
        <w:t xml:space="preserve"> </w:t>
      </w:r>
    </w:p>
    <w:p>
      <w:pPr>
        <w:pStyle w:val="CaptionedFigure"/>
      </w:pPr>
      <w:r>
        <w:drawing>
          <wp:inline>
            <wp:extent cx="3669832" cy="3669832"/>
            <wp:effectExtent b="0" l="0" r="0" t="0"/>
            <wp:docPr descr="Figure 17:  : Median basin slope as a predictor variable for concentrations of dissolved organic carbon in the Leech Water Supply Area" title="" id="1" name="Picture"/>
            <a:graphic>
              <a:graphicData uri="http://schemas.openxmlformats.org/drawingml/2006/picture">
                <pic:pic>
                  <pic:nvPicPr>
                    <pic:cNvPr descr="R-outputs_UBC-forWater-MSc_HMc/figures/Ch4_RF_DOC-predictor-3-slope.png" id="0" name="Picture"/>
                    <pic:cNvPicPr>
                      <a:picLocks noChangeArrowheads="1" noChangeAspect="1"/>
                    </pic:cNvPicPr>
                  </pic:nvPicPr>
                  <pic:blipFill>
                    <a:blip r:embed="rId93"/>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 Median basin slope as a predictor variable for concentrations of dissolved organic carbon in the Leech Water Supply Area</w:t>
      </w:r>
    </w:p>
    <w:p>
      <w:pPr>
        <w:pStyle w:val="BodyText"/>
      </w:pPr>
      <w:r>
        <w:t xml:space="preserve"> </w:t>
      </w:r>
    </w:p>
    <w:p>
      <w:pPr>
        <w:pStyle w:val="BodyText"/>
      </w:pPr>
      <w:r>
        <w:t xml:space="preserve">The fourth ranking predictor variable for DOC was metamorphic parent material, of which West Leech sub-basin had none. For the five sites that were underlain by some proportion of wark-gneiss, DOC decreased with increasing percentage of this metamorphic surficial deposit. While greater percent metamorphic material corresponded to lower DOC, the absence of wark-gneiss in West Leech sub-basin did not correspond to the highest DOC (Figure</w:t>
      </w:r>
      <w:r>
        <w:t xml:space="preserve"> </w:t>
      </w:r>
      <w:r>
        <w:t xml:space="preserve">17</w:t>
      </w:r>
      <w:r>
        <w:t xml:space="preserve">).</w:t>
      </w:r>
    </w:p>
    <w:p>
      <w:pPr>
        <w:pStyle w:val="BodyText"/>
      </w:pPr>
      <w:r>
        <w:t xml:space="preserve"> </w:t>
      </w:r>
    </w:p>
    <w:p>
      <w:pPr>
        <w:pStyle w:val="CaptionedFigure"/>
      </w:pPr>
      <w:r>
        <w:drawing>
          <wp:inline>
            <wp:extent cx="3669832" cy="3669832"/>
            <wp:effectExtent b="0" l="0" r="0" t="0"/>
            <wp:docPr descr="Figure 18:  Metamorphic parent material (Wark-Gneiss) as a predictor variable for concentrations of dissolved organic carbon (DOC) in the Leech Water Supply Area" title="" id="1" name="Picture"/>
            <a:graphic>
              <a:graphicData uri="http://schemas.openxmlformats.org/drawingml/2006/picture">
                <pic:pic>
                  <pic:nvPicPr>
                    <pic:cNvPr descr="R-outputs_UBC-forWater-MSc_HMc/figures/Ch4_RF_DOC-predictor-4-gneiss.png" id="0" name="Picture"/>
                    <pic:cNvPicPr>
                      <a:picLocks noChangeArrowheads="1" noChangeAspect="1"/>
                    </pic:cNvPicPr>
                  </pic:nvPicPr>
                  <pic:blipFill>
                    <a:blip r:embed="rId9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Metamorphic parent material (Wark-Gneiss) as a predictor variable for concentrations of dissolved organic carbon (DOC) in the Leech Water Supply Area</w:t>
      </w:r>
    </w:p>
    <w:p>
      <w:pPr>
        <w:pStyle w:val="BodyText"/>
      </w:pPr>
      <w:r>
        <w:t xml:space="preserve"> </w:t>
      </w:r>
    </w:p>
    <w:p>
      <w:pPr>
        <w:pStyle w:val="Heading4"/>
      </w:pPr>
      <w:bookmarkStart w:id="95" w:name="predicting-sac254"/>
      <w:r>
        <w:t xml:space="preserve">Predicting SAC</w:t>
      </w:r>
      <w:r>
        <w:rPr>
          <w:vertAlign w:val="subscript"/>
        </w:rPr>
        <w:t xml:space="preserve">254</w:t>
      </w:r>
      <w:bookmarkEnd w:id="95"/>
    </w:p>
    <w:p>
      <w:pPr>
        <w:pStyle w:val="FirstParagraph"/>
      </w:pPr>
      <w:r>
        <w:t xml:space="preserve"> </w:t>
      </w:r>
    </w:p>
    <w:p>
      <w:pPr>
        <w:pStyle w:val="BodyText"/>
      </w:pPr>
      <w:r>
        <w:t xml:space="preserve">Stream stage at sample collection was the most important variable to predict SAC</w:t>
      </w:r>
      <w:r>
        <w:rPr>
          <w:vertAlign w:val="subscript"/>
        </w:rPr>
        <w:t xml:space="preserve">254</w:t>
      </w:r>
      <w:r>
        <w:t xml:space="preserve">. Up to approximately 75% of maximum sampling stage at each site, SAC</w:t>
      </w:r>
      <w:r>
        <w:rPr>
          <w:vertAlign w:val="subscript"/>
        </w:rPr>
        <w:t xml:space="preserve">254</w:t>
      </w:r>
      <w:r>
        <w:t xml:space="preserve"> </w:t>
      </w:r>
      <w:r>
        <w:t xml:space="preserve">increased with increasing sampling stage and then dropped off (Figure</w:t>
      </w:r>
      <w:r>
        <w:t xml:space="preserve"> </w:t>
      </w:r>
      <w:r>
        <w:t xml:space="preserve">19</w:t>
      </w:r>
      <w:r>
        <w:t xml:space="preserve">). This indicates that as stream levels increased, so too did NOM aromaticity. The threshold level (3/4 of max stage) could suggest a point at which aromatic NOM sources were depleted.</w:t>
      </w:r>
    </w:p>
    <w:p>
      <w:pPr>
        <w:pStyle w:val="BodyText"/>
      </w:pPr>
      <w:r>
        <w:t xml:space="preserve"> </w:t>
      </w:r>
    </w:p>
    <w:p>
      <w:pPr>
        <w:pStyle w:val="CaptionedFigure"/>
      </w:pPr>
      <w:r>
        <w:drawing>
          <wp:inline>
            <wp:extent cx="3669832" cy="3669832"/>
            <wp:effectExtent b="0" l="0" r="0" t="0"/>
            <wp:docPr descr="Figure 19:  Sampling stage as a predictor variable for SAC254 in the Leech Water Supply Area (including loess trend line)" title="" id="1" name="Picture"/>
            <a:graphic>
              <a:graphicData uri="http://schemas.openxmlformats.org/drawingml/2006/picture">
                <pic:pic>
                  <pic:nvPicPr>
                    <pic:cNvPr descr="R-outputs_UBC-forWater-MSc_HMc/figures/Ch4_RF_SAC254-predictor-1-stage.png" id="0" name="Picture"/>
                    <pic:cNvPicPr>
                      <a:picLocks noChangeArrowheads="1" noChangeAspect="1"/>
                    </pic:cNvPicPr>
                  </pic:nvPicPr>
                  <pic:blipFill>
                    <a:blip r:embed="rId9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Sampling stage as a predictor variable for SAC</w:t>
      </w:r>
      <w:r>
        <w:rPr>
          <w:vertAlign w:val="subscript"/>
        </w:rPr>
        <w:t xml:space="preserve">254</w:t>
      </w:r>
      <w:r>
        <w:t xml:space="preserve"> </w:t>
      </w:r>
      <w:r>
        <w:t xml:space="preserve">in the Leech Water Supply Area (including loess trend line)</w:t>
      </w:r>
    </w:p>
    <w:p>
      <w:pPr>
        <w:pStyle w:val="BodyText"/>
      </w:pPr>
      <w:r>
        <w:t xml:space="preserve"> </w:t>
      </w:r>
    </w:p>
    <w:p>
      <w:pPr>
        <w:pStyle w:val="BodyText"/>
      </w:pPr>
      <w:r>
        <w:t xml:space="preserve">The second ranking predictor variable for SAC</w:t>
      </w:r>
      <w:r>
        <w:rPr>
          <w:vertAlign w:val="subscript"/>
        </w:rPr>
        <w:t xml:space="preserve">254</w:t>
      </w:r>
      <w:r>
        <w:t xml:space="preserve"> </w:t>
      </w:r>
      <w:r>
        <w:t xml:space="preserve">was antecedent 7-day air temperature… which is a bit difficult to interpret… more to come, or possibly this will be moved to the appendix and left out of this section… (Figure</w:t>
      </w:r>
      <w:r>
        <w:t xml:space="preserve"> </w:t>
      </w:r>
      <w:r>
        <w:t xml:space="preserve">20</w:t>
      </w:r>
      <w:r>
        <w:t xml:space="preserve">).</w:t>
      </w:r>
    </w:p>
    <w:p>
      <w:pPr>
        <w:pStyle w:val="BodyText"/>
      </w:pPr>
      <w:r>
        <w:t xml:space="preserve"> </w:t>
      </w:r>
    </w:p>
    <w:p>
      <w:pPr>
        <w:pStyle w:val="CaptionedFigure"/>
      </w:pPr>
      <w:r>
        <w:drawing>
          <wp:inline>
            <wp:extent cx="3669832" cy="3669832"/>
            <wp:effectExtent b="0" l="0" r="0" t="0"/>
            <wp:docPr descr="Figure 20:  Antecedent 7-day air temperature as a predictor variable for SAC254 in the Leech Water Supply Area (including loess trend line)" title="" id="1" name="Picture"/>
            <a:graphic>
              <a:graphicData uri="http://schemas.openxmlformats.org/drawingml/2006/picture">
                <pic:pic>
                  <pic:nvPicPr>
                    <pic:cNvPr descr="R-outputs_UBC-forWater-MSc_HMc/figures/Ch4_RF_SAC254-predictor-2-temp.png" id="0" name="Picture"/>
                    <pic:cNvPicPr>
                      <a:picLocks noChangeArrowheads="1" noChangeAspect="1"/>
                    </pic:cNvPicPr>
                  </pic:nvPicPr>
                  <pic:blipFill>
                    <a:blip r:embed="rId97"/>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Antecedent 7-day air temperature as a predictor variable for SAC</w:t>
      </w:r>
      <w:r>
        <w:rPr>
          <w:vertAlign w:val="subscript"/>
        </w:rPr>
        <w:t xml:space="preserve">254</w:t>
      </w:r>
      <w:r>
        <w:t xml:space="preserve"> </w:t>
      </w:r>
      <w:r>
        <w:t xml:space="preserve">in the Leech Water Supply Area (including loess trend line)</w:t>
      </w:r>
    </w:p>
    <w:p>
      <w:pPr>
        <w:pStyle w:val="BodyText"/>
      </w:pPr>
      <w:r>
        <w:t xml:space="preserve"> </w:t>
      </w:r>
    </w:p>
    <w:p>
      <w:pPr>
        <w:pStyle w:val="BodyText"/>
      </w:pPr>
      <w:r>
        <w:t xml:space="preserve">Antecedent 30-day rain was ranked third most important for predicting SAC</w:t>
      </w:r>
      <w:r>
        <w:rPr>
          <w:vertAlign w:val="subscript"/>
        </w:rPr>
        <w:t xml:space="preserve">254</w:t>
      </w:r>
      <w:r>
        <w:t xml:space="preserve">, and, although there were missing values for SAC</w:t>
      </w:r>
      <w:r>
        <w:rPr>
          <w:vertAlign w:val="subscript"/>
        </w:rPr>
        <w:t xml:space="preserve">254</w:t>
      </w:r>
      <w:r>
        <w:t xml:space="preserve"> </w:t>
      </w:r>
      <w:r>
        <w:t xml:space="preserve">where DOC had data, the pattern was similar to that of DOC and 30-day antecedent rain. Rain accumulation in the 30 days prior to sample collection was positively related to SAC</w:t>
      </w:r>
      <w:r>
        <w:rPr>
          <w:vertAlign w:val="subscript"/>
        </w:rPr>
        <w:t xml:space="preserve">254</w:t>
      </w:r>
      <w:r>
        <w:t xml:space="preserve"> </w:t>
      </w:r>
      <w:r>
        <w:t xml:space="preserve">up to approximately 150 mm; SAC</w:t>
      </w:r>
      <w:r>
        <w:rPr>
          <w:vertAlign w:val="subscript"/>
        </w:rPr>
        <w:t xml:space="preserve">254</w:t>
      </w:r>
      <w:r>
        <w:t xml:space="preserve"> </w:t>
      </w:r>
      <w:r>
        <w:t xml:space="preserve">was relatively low with antecedent 30-day rain above 400 mm (Figure</w:t>
      </w:r>
      <w:r>
        <w:t xml:space="preserve"> </w:t>
      </w:r>
      <w:r>
        <w:t xml:space="preserve">21</w:t>
      </w:r>
      <w:r>
        <w:t xml:space="preserve">).</w:t>
      </w:r>
    </w:p>
    <w:p>
      <w:pPr>
        <w:pStyle w:val="BodyText"/>
      </w:pPr>
      <w:r>
        <w:t xml:space="preserve"> </w:t>
      </w:r>
    </w:p>
    <w:p>
      <w:pPr>
        <w:pStyle w:val="CaptionedFigure"/>
      </w:pPr>
      <w:r>
        <w:drawing>
          <wp:inline>
            <wp:extent cx="3669832" cy="3669832"/>
            <wp:effectExtent b="0" l="0" r="0" t="0"/>
            <wp:docPr descr="Figure 21:  Antecedent 30-day rain as a predictor variable for of SAC254 in the Leech Water Supply Area (including loess trend line with uncertainty shaded in grey)" title="" id="1" name="Picture"/>
            <a:graphic>
              <a:graphicData uri="http://schemas.openxmlformats.org/drawingml/2006/picture">
                <pic:pic>
                  <pic:nvPicPr>
                    <pic:cNvPr descr="R-outputs_UBC-forWater-MSc_HMc/figures/Ch4_RF_SAC254-predictor-3-rain.png" id="0" name="Picture"/>
                    <pic:cNvPicPr>
                      <a:picLocks noChangeArrowheads="1" noChangeAspect="1"/>
                    </pic:cNvPicPr>
                  </pic:nvPicPr>
                  <pic:blipFill>
                    <a:blip r:embed="rId9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Antecedent 30-day rain as a predictor variable for of SAC</w:t>
      </w:r>
      <w:r>
        <w:rPr>
          <w:vertAlign w:val="subscript"/>
        </w:rPr>
        <w:t xml:space="preserve">254</w:t>
      </w:r>
      <w:r>
        <w:t xml:space="preserve"> </w:t>
      </w:r>
      <w:r>
        <w:t xml:space="preserve">in the Leech Water Supply Area (including loess trend line with uncertainty shaded in grey)</w:t>
      </w:r>
    </w:p>
    <w:p>
      <w:pPr>
        <w:pStyle w:val="BodyText"/>
      </w:pPr>
      <w:r>
        <w:t xml:space="preserve"> </w:t>
      </w:r>
    </w:p>
    <w:p>
      <w:pPr>
        <w:pStyle w:val="BodyText"/>
      </w:pPr>
      <w:r>
        <w:t xml:space="preserve">Ranking fourth for predicting SAC</w:t>
      </w:r>
      <w:r>
        <w:rPr>
          <w:vertAlign w:val="subscript"/>
        </w:rPr>
        <w:t xml:space="preserve">254</w:t>
      </w:r>
      <w:r>
        <w:t xml:space="preserve"> </w:t>
      </w:r>
      <w:r>
        <w:t xml:space="preserve">was metamorphic parent material. Like DOC, greater metamorphic parent material corresponded with lower SAC</w:t>
      </w:r>
      <w:r>
        <w:rPr>
          <w:vertAlign w:val="subscript"/>
        </w:rPr>
        <w:t xml:space="preserve">254</w:t>
      </w:r>
      <w:r>
        <w:t xml:space="preserve"> </w:t>
      </w:r>
      <w:r>
        <w:t xml:space="preserve">values, but the absence of wark-gneiss did not correspond to the sub-basin with the highest SAC</w:t>
      </w:r>
      <w:r>
        <w:rPr>
          <w:vertAlign w:val="subscript"/>
        </w:rPr>
        <w:t xml:space="preserve">254</w:t>
      </w:r>
      <w:r>
        <w:t xml:space="preserve"> </w:t>
      </w:r>
      <w:r>
        <w:t xml:space="preserve">(Figure</w:t>
      </w:r>
      <w:r>
        <w:t xml:space="preserve"> </w:t>
      </w:r>
      <w:r>
        <w:t xml:space="preserve">22</w:t>
      </w:r>
      <w:r>
        <w:t xml:space="preserve">).</w:t>
      </w:r>
    </w:p>
    <w:p>
      <w:pPr>
        <w:pStyle w:val="BodyText"/>
      </w:pPr>
      <w:r>
        <w:t xml:space="preserve"> </w:t>
      </w:r>
    </w:p>
    <w:p>
      <w:pPr>
        <w:pStyle w:val="CaptionedFigure"/>
      </w:pPr>
      <w:r>
        <w:drawing>
          <wp:inline>
            <wp:extent cx="3669832" cy="3669832"/>
            <wp:effectExtent b="0" l="0" r="0" t="0"/>
            <wp:docPr descr="Figure 22:  Metamorphic parent material (Wark-Gneiss) as a predictor variable of SAC254 in the Leech Water Supply Area" title="" id="1" name="Picture"/>
            <a:graphic>
              <a:graphicData uri="http://schemas.openxmlformats.org/drawingml/2006/picture">
                <pic:pic>
                  <pic:nvPicPr>
                    <pic:cNvPr descr="R-outputs_UBC-forWater-MSc_HMc/figures/Ch4_RF_SAC254-predictor-4-metamorphic.png" id="0" name="Picture"/>
                    <pic:cNvPicPr>
                      <a:picLocks noChangeArrowheads="1" noChangeAspect="1"/>
                    </pic:cNvPicPr>
                  </pic:nvPicPr>
                  <pic:blipFill>
                    <a:blip r:embed="rId9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Metamorphic parent material (Wark-Gneiss) as a predictor variable of SAC</w:t>
      </w:r>
      <w:r>
        <w:rPr>
          <w:vertAlign w:val="subscript"/>
        </w:rPr>
        <w:t xml:space="preserve">254</w:t>
      </w:r>
      <w:r>
        <w:t xml:space="preserve"> </w:t>
      </w:r>
      <w:r>
        <w:t xml:space="preserve">in the Leech Water Supply Area</w:t>
      </w:r>
    </w:p>
    <w:p>
      <w:pPr>
        <w:pStyle w:val="BodyText"/>
      </w:pPr>
      <w:r>
        <w:t xml:space="preserve"> </w:t>
      </w:r>
    </w:p>
    <w:p>
      <w:pPr>
        <w:pStyle w:val="BodyText"/>
      </w:pPr>
      <w:r>
        <w:t xml:space="preserve"> </w:t>
      </w:r>
    </w:p>
    <w:p>
      <w:pPr>
        <w:pStyle w:val="Heading4"/>
      </w:pPr>
      <w:bookmarkStart w:id="100" w:name="predicting-e2e3"/>
      <w:r>
        <w:t xml:space="preserve">Predicting E</w:t>
      </w:r>
      <w:r>
        <w:rPr>
          <w:vertAlign w:val="subscript"/>
        </w:rPr>
        <w:t xml:space="preserve">2</w:t>
      </w:r>
      <w:r>
        <w:t xml:space="preserve">:E</w:t>
      </w:r>
      <w:r>
        <w:rPr>
          <w:vertAlign w:val="subscript"/>
        </w:rPr>
        <w:t xml:space="preserve">3</w:t>
      </w:r>
      <w:bookmarkEnd w:id="100"/>
    </w:p>
    <w:p>
      <w:pPr>
        <w:pStyle w:val="FirstParagraph"/>
      </w:pPr>
      <w:r>
        <w:t xml:space="preserve"> </w:t>
      </w:r>
    </w:p>
    <w:p>
      <w:pPr>
        <w:pStyle w:val="BodyText"/>
      </w:pPr>
      <w:r>
        <w:t xml:space="preserve">As a predictor for E</w:t>
      </w:r>
      <w:r>
        <w:rPr>
          <w:vertAlign w:val="subscript"/>
        </w:rPr>
        <w:t xml:space="preserve">2</w:t>
      </w:r>
      <w:r>
        <w:t xml:space="preserve">:E</w:t>
      </w:r>
      <w:r>
        <w:rPr>
          <w:vertAlign w:val="subscript"/>
        </w:rPr>
        <w:t xml:space="preserve">3</w:t>
      </w:r>
      <w:r>
        <w:t xml:space="preserve">, antecedent 30-day rain was ranked most important. Similar to the patterns seen with DOC and SAC</w:t>
      </w:r>
      <w:r>
        <w:rPr>
          <w:vertAlign w:val="subscript"/>
        </w:rPr>
        <w:t xml:space="preserve">254</w:t>
      </w:r>
      <w:r>
        <w:t xml:space="preserve">, there was an initial positive relationship up to approximately 150 mm of antecedent 30-day rain, then E</w:t>
      </w:r>
      <w:r>
        <w:rPr>
          <w:vertAlign w:val="subscript"/>
        </w:rPr>
        <w:t xml:space="preserve">2</w:t>
      </w:r>
      <w:r>
        <w:t xml:space="preserve">:E</w:t>
      </w:r>
      <w:r>
        <w:rPr>
          <w:vertAlign w:val="subscript"/>
        </w:rPr>
        <w:t xml:space="preserve">3</w:t>
      </w:r>
      <w:r>
        <w:t xml:space="preserve"> </w:t>
      </w:r>
      <w:r>
        <w:t xml:space="preserve">decreased until antecedent 30-day rain reached around 300 mm at which point E</w:t>
      </w:r>
      <w:r>
        <w:rPr>
          <w:vertAlign w:val="subscript"/>
        </w:rPr>
        <w:t xml:space="preserve">2</w:t>
      </w:r>
      <w:r>
        <w:t xml:space="preserve">:E</w:t>
      </w:r>
      <w:r>
        <w:rPr>
          <w:vertAlign w:val="subscript"/>
        </w:rPr>
        <w:t xml:space="preserve">3</w:t>
      </w:r>
      <w:r>
        <w:t xml:space="preserve"> </w:t>
      </w:r>
      <w:r>
        <w:t xml:space="preserve">more or less plateaued (Figure</w:t>
      </w:r>
      <w:r>
        <w:t xml:space="preserve"> </w:t>
      </w:r>
      <w:r>
        <w:t xml:space="preserve">23</w:t>
      </w:r>
      <w:r>
        <w:t xml:space="preserve">).</w:t>
      </w:r>
    </w:p>
    <w:p>
      <w:pPr>
        <w:pStyle w:val="BodyText"/>
      </w:pPr>
      <w:r>
        <w:t xml:space="preserve"> </w:t>
      </w:r>
    </w:p>
    <w:p>
      <w:pPr>
        <w:pStyle w:val="CaptionedFigure"/>
      </w:pPr>
      <w:r>
        <w:drawing>
          <wp:inline>
            <wp:extent cx="3669832" cy="3669832"/>
            <wp:effectExtent b="0" l="0" r="0" t="0"/>
            <wp:docPr descr="Figure 23:  Antecedent 30-day rain as a predictor variable for of E2:E3 in the Leech Water Supply Area (including loess trend line)" title="" id="1" name="Picture"/>
            <a:graphic>
              <a:graphicData uri="http://schemas.openxmlformats.org/drawingml/2006/picture">
                <pic:pic>
                  <pic:nvPicPr>
                    <pic:cNvPr descr="R-outputs_UBC-forWater-MSc_HMc/figures/Ch4_RF_E2E3-predictor-1-rain.png" id="0" name="Picture"/>
                    <pic:cNvPicPr>
                      <a:picLocks noChangeArrowheads="1" noChangeAspect="1"/>
                    </pic:cNvPicPr>
                  </pic:nvPicPr>
                  <pic:blipFill>
                    <a:blip r:embed="rId10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Antecedent 30-day rain as a predictor variable for of E</w:t>
      </w:r>
      <w:r>
        <w:rPr>
          <w:vertAlign w:val="subscript"/>
        </w:rPr>
        <w:t xml:space="preserve">2</w:t>
      </w:r>
      <w:r>
        <w:t xml:space="preserve">:E</w:t>
      </w:r>
      <w:r>
        <w:rPr>
          <w:vertAlign w:val="subscript"/>
        </w:rPr>
        <w:t xml:space="preserve">3</w:t>
      </w:r>
      <w:r>
        <w:t xml:space="preserve"> </w:t>
      </w:r>
      <w:r>
        <w:t xml:space="preserve">in the Leech Water Supply Area (including loess trend line)</w:t>
      </w:r>
    </w:p>
    <w:p>
      <w:pPr>
        <w:pStyle w:val="BodyText"/>
      </w:pPr>
      <w:r>
        <w:t xml:space="preserve"> </w:t>
      </w:r>
    </w:p>
    <w:p>
      <w:pPr>
        <w:pStyle w:val="BodyText"/>
      </w:pPr>
      <w:r>
        <w:t xml:space="preserve">The second most important predictor was sampling stage which was inversely related to E</w:t>
      </w:r>
      <w:r>
        <w:rPr>
          <w:vertAlign w:val="subscript"/>
        </w:rPr>
        <w:t xml:space="preserve">2</w:t>
      </w:r>
      <w:r>
        <w:t xml:space="preserve">:E</w:t>
      </w:r>
      <w:r>
        <w:rPr>
          <w:vertAlign w:val="subscript"/>
        </w:rPr>
        <w:t xml:space="preserve">3</w:t>
      </w:r>
      <w:r>
        <w:t xml:space="preserve"> </w:t>
      </w:r>
      <w:r>
        <w:t xml:space="preserve">(Figure</w:t>
      </w:r>
      <w:r>
        <w:t xml:space="preserve"> </w:t>
      </w:r>
      <w:r>
        <w:t xml:space="preserve">24</w:t>
      </w:r>
      <w:r>
        <w:t xml:space="preserve">). This shows that as stream stage increased across the Leech WSA, so too did aromaticity and/or NOM molecular size. Similar to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75% of maximum stage, indicating a threshold at which aromaticity no longer increased; possibly due to the aromatic pool being exhausted, or possibly that the most aromatic sources had reached peak connectivity to the streams and the NOM could get no more humic in nature.</w:t>
      </w:r>
    </w:p>
    <w:p>
      <w:pPr>
        <w:pStyle w:val="BodyText"/>
      </w:pPr>
      <w:r>
        <w:t xml:space="preserve"> </w:t>
      </w:r>
    </w:p>
    <w:p>
      <w:pPr>
        <w:pStyle w:val="CaptionedFigure"/>
      </w:pPr>
      <w:r>
        <w:drawing>
          <wp:inline>
            <wp:extent cx="3669832" cy="3669832"/>
            <wp:effectExtent b="0" l="0" r="0" t="0"/>
            <wp:docPr descr="Figure 24:  Sampling stage as a predictor variable for E2:E3 in the Leech Water Supply Area (including loess trend line)" title="" id="1" name="Picture"/>
            <a:graphic>
              <a:graphicData uri="http://schemas.openxmlformats.org/drawingml/2006/picture">
                <pic:pic>
                  <pic:nvPicPr>
                    <pic:cNvPr descr="R-outputs_UBC-forWater-MSc_HMc/figures/Ch4_RF_E2E3-predictor-2-stage.png" id="0" name="Picture"/>
                    <pic:cNvPicPr>
                      <a:picLocks noChangeArrowheads="1" noChangeAspect="1"/>
                    </pic:cNvPicPr>
                  </pic:nvPicPr>
                  <pic:blipFill>
                    <a:blip r:embed="rId10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Sampling stage as a predictor variable for E</w:t>
      </w:r>
      <w:r>
        <w:rPr>
          <w:vertAlign w:val="subscript"/>
        </w:rPr>
        <w:t xml:space="preserve">2</w:t>
      </w:r>
      <w:r>
        <w:t xml:space="preserve">:E</w:t>
      </w:r>
      <w:r>
        <w:rPr>
          <w:vertAlign w:val="subscript"/>
        </w:rPr>
        <w:t xml:space="preserve">3</w:t>
      </w:r>
      <w:r>
        <w:t xml:space="preserve"> </w:t>
      </w:r>
      <w:r>
        <w:t xml:space="preserve">in the Leech Water Supply Area (including loess trend line)</w:t>
      </w:r>
    </w:p>
    <w:p>
      <w:pPr>
        <w:pStyle w:val="BodyText"/>
      </w:pPr>
      <w:r>
        <w:t xml:space="preserve"> </w:t>
      </w:r>
    </w:p>
    <w:p>
      <w:pPr>
        <w:pStyle w:val="BodyText"/>
      </w:pPr>
      <w:r>
        <w:t xml:space="preserve">Ranking third for variable importance in predicting E</w:t>
      </w:r>
      <w:r>
        <w:rPr>
          <w:vertAlign w:val="subscript"/>
        </w:rPr>
        <w:t xml:space="preserve">2</w:t>
      </w:r>
      <w:r>
        <w:t xml:space="preserve">:E</w:t>
      </w:r>
      <w:r>
        <w:rPr>
          <w:vertAlign w:val="subscript"/>
        </w:rPr>
        <w:t xml:space="preserve">3</w:t>
      </w:r>
      <w:r>
        <w:t xml:space="preserve"> </w:t>
      </w:r>
      <w:r>
        <w:t xml:space="preserve">was average tree age in each monitoring basin. Tree age was partially due to forest harvest, which was the fifth ranked VIM predictor, so these two variables were plotted together for interpretation. 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Tunnel, Cragg crk), which showed increasing E</w:t>
      </w:r>
      <w:r>
        <w:rPr>
          <w:vertAlign w:val="subscript"/>
        </w:rPr>
        <w:t xml:space="preserve">2</w:t>
      </w:r>
      <w:r>
        <w:t xml:space="preserve">:E</w:t>
      </w:r>
      <w:r>
        <w:rPr>
          <w:vertAlign w:val="subscript"/>
        </w:rPr>
        <w:t xml:space="preserve">3</w:t>
      </w:r>
      <w:r>
        <w:t xml:space="preserve"> </w:t>
      </w:r>
      <w:r>
        <w:t xml:space="preserve">with percent area harvested over the past 31 years. However, Leech-head and Chris creek sub-basins, which had higher percent harvest over the past 31 years (thus youngest trees) did not continue this pattern (Figure</w:t>
      </w:r>
      <w:r>
        <w:t xml:space="preserve"> </w:t>
      </w:r>
      <w:r>
        <w:t xml:space="preserve">25</w:t>
      </w:r>
      <w:r>
        <w:t xml:space="preserve">). These results suggests that NOM character was less aromatic in more heavily harvest sub-basins. …{?}</w:t>
      </w:r>
    </w:p>
    <w:p>
      <w:pPr>
        <w:pStyle w:val="BodyText"/>
      </w:pPr>
      <w:r>
        <w:t xml:space="preserve"> </w:t>
      </w:r>
    </w:p>
    <w:p>
      <w:pPr>
        <w:pStyle w:val="CaptionedFigure"/>
      </w:pPr>
      <w:r>
        <w:drawing>
          <wp:inline>
            <wp:extent cx="3669832" cy="5504749"/>
            <wp:effectExtent b="0" l="0" r="0" t="0"/>
            <wp:docPr descr="Figure 25:  Average tree age and percent basin area harvested as predictors for E2:E3 in the Leech Water Supply Area" title="" id="1" name="Picture"/>
            <a:graphic>
              <a:graphicData uri="http://schemas.openxmlformats.org/drawingml/2006/picture">
                <pic:pic>
                  <pic:nvPicPr>
                    <pic:cNvPr descr="R-outputs_UBC-forWater-MSc_HMc/figures/Ch4_RF_E2E3-predictor-3n4-Trees-Logging.png" id="0" name="Picture"/>
                    <pic:cNvPicPr>
                      <a:picLocks noChangeArrowheads="1" noChangeAspect="1"/>
                    </pic:cNvPicPr>
                  </pic:nvPicPr>
                  <pic:blipFill>
                    <a:blip r:embed="rId103"/>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Average tree age and percent basin area harvested as predictors for E</w:t>
      </w:r>
      <w:r>
        <w:rPr>
          <w:vertAlign w:val="subscript"/>
        </w:rPr>
        <w:t xml:space="preserve">2</w:t>
      </w:r>
      <w:r>
        <w:t xml:space="preserve">:E</w:t>
      </w:r>
      <w:r>
        <w:rPr>
          <w:vertAlign w:val="subscript"/>
        </w:rPr>
        <w:t xml:space="preserve">3</w:t>
      </w:r>
      <w:r>
        <w:t xml:space="preserve"> </w:t>
      </w:r>
      <w:r>
        <w:t xml:space="preserve">in the Leech Water Supply Area</w:t>
      </w:r>
    </w:p>
    <w:p>
      <w:pPr>
        <w:pStyle w:val="BodyText"/>
      </w:pPr>
      <w:r>
        <w:t xml:space="preserve"> </w:t>
      </w:r>
    </w:p>
    <w:p>
      <w:pPr>
        <w:pStyle w:val="BodyText"/>
      </w:pPr>
      <w:r>
        <w:t xml:space="preserve">Metamorphic parent material ranked fourth in importance for predicting E</w:t>
      </w:r>
      <w:r>
        <w:rPr>
          <w:vertAlign w:val="subscript"/>
        </w:rPr>
        <w:t xml:space="preserve">2</w:t>
      </w:r>
      <w:r>
        <w:t xml:space="preserve">:E</w:t>
      </w:r>
      <w:r>
        <w:rPr>
          <w:vertAlign w:val="subscript"/>
        </w:rPr>
        <w:t xml:space="preserve">3</w:t>
      </w:r>
      <w:r>
        <w:t xml:space="preserve">, which showed agreement with DOC and SAC</w:t>
      </w:r>
      <w:r>
        <w:rPr>
          <w:vertAlign w:val="subscript"/>
        </w:rPr>
        <w:t xml:space="preserve">254</w:t>
      </w:r>
      <w:r>
        <w:t xml:space="preserve">. Greater metamorphic parent material corresponded to lower aromaticity and molecular weight (higher E</w:t>
      </w:r>
      <w:r>
        <w:rPr>
          <w:vertAlign w:val="subscript"/>
        </w:rPr>
        <w:t xml:space="preserve">2</w:t>
      </w:r>
      <w:r>
        <w:t xml:space="preserve">:E</w:t>
      </w:r>
      <w:r>
        <w:rPr>
          <w:vertAlign w:val="subscript"/>
        </w:rPr>
        <w:t xml:space="preserve">3</w:t>
      </w:r>
      <w:r>
        <w:t xml:space="preserve"> </w:t>
      </w:r>
      <w:r>
        <w:t xml:space="preserve">values). In contrast to DOC and SAC</w:t>
      </w:r>
      <w:r>
        <w:rPr>
          <w:vertAlign w:val="subscript"/>
        </w:rPr>
        <w:t xml:space="preserve">254</w:t>
      </w:r>
      <w:r>
        <w:t xml:space="preserve"> </w:t>
      </w:r>
      <w:r>
        <w:t xml:space="preserve">the absence of wark-gneiss did correspond to the lowest mean E</w:t>
      </w:r>
      <w:r>
        <w:rPr>
          <w:vertAlign w:val="subscript"/>
        </w:rPr>
        <w:t xml:space="preserve">2</w:t>
      </w:r>
      <w:r>
        <w:t xml:space="preserve">:E</w:t>
      </w:r>
      <w:r>
        <w:rPr>
          <w:vertAlign w:val="subscript"/>
        </w:rPr>
        <w:t xml:space="preserve">3</w:t>
      </w:r>
      <w:r>
        <w:t xml:space="preserve">, the sub-basin with the greatest aromaticity and molecular weight (Figure</w:t>
      </w:r>
      <w:r>
        <w:t xml:space="preserve"> </w:t>
      </w:r>
      <w:r>
        <w:t xml:space="preserve">26</w:t>
      </w:r>
      <w:r>
        <w:t xml:space="preserve">).</w:t>
      </w:r>
    </w:p>
    <w:p>
      <w:pPr>
        <w:pStyle w:val="BodyText"/>
      </w:pPr>
      <w:r>
        <w:t xml:space="preserve"> </w:t>
      </w:r>
    </w:p>
    <w:p>
      <w:pPr>
        <w:pStyle w:val="CaptionedFigure"/>
      </w:pPr>
      <w:r>
        <w:drawing>
          <wp:inline>
            <wp:extent cx="3669832" cy="3669832"/>
            <wp:effectExtent b="0" l="0" r="0" t="0"/>
            <wp:docPr descr="Figure 26:  Metamorphic parent material (Wark-Gneiss) as a predictor variable of E2:E3 in the Leech Water Supply Area" title="" id="1" name="Picture"/>
            <a:graphic>
              <a:graphicData uri="http://schemas.openxmlformats.org/drawingml/2006/picture">
                <pic:pic>
                  <pic:nvPicPr>
                    <pic:cNvPr descr="R-outputs_UBC-forWater-MSc_HMc/figures/Ch4_RF_E2E3-predictor-5-metamorphic.png" id="0" name="Picture"/>
                    <pic:cNvPicPr>
                      <a:picLocks noChangeArrowheads="1" noChangeAspect="1"/>
                    </pic:cNvPicPr>
                  </pic:nvPicPr>
                  <pic:blipFill>
                    <a:blip r:embed="rId10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t xml:space="preserve">Metamorphic parent material (Wark-Gneiss) as a predictor variable of E</w:t>
      </w:r>
      <w:r>
        <w:rPr>
          <w:vertAlign w:val="subscript"/>
        </w:rPr>
        <w:t xml:space="preserve">2</w:t>
      </w:r>
      <w:r>
        <w:t xml:space="preserve">:E</w:t>
      </w:r>
      <w:r>
        <w:rPr>
          <w:vertAlign w:val="subscript"/>
        </w:rPr>
        <w:t xml:space="preserve">3</w:t>
      </w:r>
      <w:r>
        <w:t xml:space="preserve"> </w:t>
      </w:r>
      <w:r>
        <w:t xml:space="preserve">in the Leech Water Supply Area</w:t>
      </w:r>
    </w:p>
    <w:p>
      <w:pPr>
        <w:pStyle w:val="BodyText"/>
      </w:pPr>
      <w:r>
        <w:t xml:space="preserve"> </w:t>
      </w:r>
    </w:p>
    <w:p>
      <w:pPr>
        <w:pStyle w:val="BodyText"/>
      </w:pPr>
      <w:r>
        <w:t xml:space="preserve">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NOM concentration and aromaticity in sub-basins with wark-gneiss parent material showed a negative relationship to this metamorphic parent material.</w:t>
      </w:r>
    </w:p>
    <w:p>
      <w:pPr>
        <w:pStyle w:val="BodyText"/>
      </w:pPr>
      <w:r>
        <w:t xml:space="preserve"> </w:t>
      </w:r>
    </w:p>
    <w:p>
      <w:pPr>
        <w:pStyle w:val="BodyText"/>
      </w:pPr>
      <w:r>
        <w:t xml:space="preserve">Like concentration, NOM character was driven by antecedent wetness but only up to a threshold of approximately 150 mm of 30-day antecedent rain. After this threshold, the relationship was no longer positive. In a similar way, NOM aromaticity increased with increasing sample collection stage up to approximately 75% of maximum stage at each site.</w:t>
      </w:r>
    </w:p>
    <w:p>
      <w:pPr>
        <w:pStyle w:val="BodyText"/>
      </w:pPr>
      <w:r>
        <w:t xml:space="preserve"> </w:t>
      </w:r>
    </w:p>
    <w:p>
      <w:pPr>
        <w:pStyle w:val="Heading4"/>
      </w:pPr>
      <w:bookmarkStart w:id="105" w:name="X1c0fdbc26234d467410dcb50e02a405f4948b31"/>
      <w:r>
        <w:t xml:space="preserve">Evaluating rain events with NOM concentration and character</w:t>
      </w:r>
      <w:bookmarkEnd w:id="105"/>
    </w:p>
    <w:p>
      <w:pPr>
        <w:pStyle w:val="FirstParagraph"/>
      </w:pPr>
      <w:r>
        <w:t xml:space="preserve"> </w:t>
      </w:r>
    </w:p>
    <w:p>
      <w:pPr>
        <w:pStyle w:val="BodyText"/>
      </w:pPr>
      <w:r>
        <w:t xml:space="preserve">Antecedent moisture was important for each of the three predictant variables evaluated though RF VIM. Across the Leech WSA, the highest DOC occurred in the earliest events of each wet season (events 1 &amp; 9, Table</w:t>
      </w:r>
      <w:r>
        <w:t xml:space="preserve"> </w:t>
      </w:r>
      <w:r>
        <w:t xml:space="preserve">14</w:t>
      </w:r>
      <w:r>
        <w:t xml:space="preserve">), while SAC</w:t>
      </w:r>
      <w:r>
        <w:rPr>
          <w:vertAlign w:val="subscript"/>
        </w:rPr>
        <w:t xml:space="preserve">254</w:t>
      </w:r>
      <w:r>
        <w:t xml:space="preserve"> </w:t>
      </w:r>
      <w:r>
        <w:t xml:space="preserve">peaked later than DOC during the third major event in the 2019/2020 wet season (event 11, Table</w:t>
      </w:r>
      <w:r>
        <w:t xml:space="preserve"> </w:t>
      </w:r>
      <w:r>
        <w:t xml:space="preserve">14</w:t>
      </w:r>
      <w:r>
        <w:t xml:space="preserve">). While E</w:t>
      </w:r>
      <w:r>
        <w:rPr>
          <w:vertAlign w:val="subscript"/>
        </w:rPr>
        <w:t xml:space="preserve">2</w:t>
      </w:r>
      <w:r>
        <w:t xml:space="preserve">:E</w:t>
      </w:r>
      <w:r>
        <w:rPr>
          <w:vertAlign w:val="subscript"/>
        </w:rPr>
        <w:t xml:space="preserve">3</w:t>
      </w:r>
      <w:r>
        <w:t xml:space="preserve"> </w:t>
      </w:r>
      <w:r>
        <w:t xml:space="preserve">indicated maximum aromaticity and molecular size occurred during the last major events, at the end of each wet season (events 3 &amp; 17, Table</w:t>
      </w:r>
      <w:r>
        <w:t xml:space="preserve"> </w:t>
      </w:r>
      <w:r>
        <w:t xml:space="preserve">14</w:t>
      </w:r>
      <w:r>
        <w:t xml:space="preserve">).</w:t>
      </w:r>
    </w:p>
    <w:p>
      <w:pPr>
        <w:pStyle w:val="BodyText"/>
      </w:pPr>
      <w:r>
        <w:t xml:space="preserve"> </w:t>
      </w:r>
    </w:p>
    <w:p>
      <w:pPr>
        <w:pStyle w:val="TableCaption"/>
      </w:pPr>
      <w:r>
        <w:t xml:space="preserve">Table 14: Rain Events (Threshold of 50 mm and 14-hour Inter-event Period) Defined by Vertical Rack Sample Collection Across the Six monitoring Sites of the Leech WSA</w:t>
      </w:r>
    </w:p>
    <w:tbl>
      <w:tblPr>
        <w:tblStyle w:val="Table"/>
        <w:tblW w:type="pct" w:w="5000.0"/>
        <w:tblLook w:firstRow="1"/>
        <w:tblCaption w:val="Table 14: Rain Events (Threshold of 50 mm and 14-hour Inter-event Period) Defined by Vertical Rack Sample Collection Across the Six monitoring Sites of the Leech WSA"/>
      </w:tblPr>
      <w:tblGrid>
        <w:gridCol w:w="898"/>
        <w:gridCol w:w="617"/>
        <w:gridCol w:w="898"/>
        <w:gridCol w:w="786"/>
        <w:gridCol w:w="1179"/>
        <w:gridCol w:w="1011"/>
        <w:gridCol w:w="898"/>
        <w:gridCol w:w="786"/>
        <w:gridCol w:w="84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Moisture was important to each of the three predictant variables, so a comparison between the wet and dry season sample results was done to assess difference in spatial patterns for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During the dry-season,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Weeks creek had much greater aromaticity compared to the other sites.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27</w:t>
      </w:r>
      <w:r>
        <w:t xml:space="preserve">). SAC</w:t>
      </w:r>
      <w:r>
        <w:rPr>
          <w:vertAlign w:val="subscript"/>
        </w:rPr>
        <w:t xml:space="preserve">254</w:t>
      </w:r>
      <w:r>
        <w:t xml:space="preserve"> </w:t>
      </w:r>
      <w:r>
        <w:t xml:space="preserve">showed a similar increase in aromatic character from headwaters to mouth during the dry season, albeit the pattern was less pronounced and there was a larger difference between Chris 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As we know from Chapter 3, DOC concentrations decreased from headwaters to mouth in both the wet and dry seasons, with the greatest dry-season variance at the head (Weeks) and mouth (Tunnel).</w:t>
      </w:r>
    </w:p>
    <w:p>
      <w:pPr>
        <w:pStyle w:val="BodyText"/>
      </w:pPr>
      <w:r>
        <w:t xml:space="preserve"> </w:t>
      </w:r>
    </w:p>
    <w:p>
      <w:pPr>
        <w:pStyle w:val="BodyText"/>
      </w:pPr>
      <w:r>
        <w:t xml:space="preserve">The dry season patterns of decreasing DOC and SAC</w:t>
      </w:r>
      <w:r>
        <w:rPr>
          <w:vertAlign w:val="subscript"/>
        </w:rPr>
        <w:t xml:space="preserve">254</w:t>
      </w:r>
      <w:r>
        <w:t xml:space="preserve"> </w:t>
      </w:r>
      <w:r>
        <w:t xml:space="preserve">from low- to high-order streams were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differenced suggest a possible shift in NOM source material, and also a possible dilution effect.</w:t>
      </w:r>
    </w:p>
    <w:p>
      <w:pPr>
        <w:pStyle w:val="BodyText"/>
      </w:pPr>
      <w:r>
        <w:t xml:space="preserve"> </w:t>
      </w:r>
    </w:p>
    <w:p>
      <w:pPr>
        <w:pStyle w:val="CaptionedFigure"/>
      </w:pPr>
      <w:r>
        <w:drawing>
          <wp:inline>
            <wp:extent cx="5504749" cy="5504749"/>
            <wp:effectExtent b="0" l="0" r="0" t="0"/>
            <wp:docPr descr="Figure 27:  Sample results over the dry and wet seasons for [A] dissolved organic carbon concentrations (DOC), [B] specific absorbance coefficient at 254 nm (SAC254, m-1), and [C] the quotient of SAC250/SAC365 (E2:E3). Note that each season has a differnt y-scale to clarify patterns. The inset in panel B is an elargement of SAC254 for all sites except Weeks."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10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t xml:space="preserve">Sample results over the dry and wet seasons for [A] dissolved organic carbon concentrations (DOC), [B] specific absorbance coefficient at 254 nm (SAC</w:t>
      </w:r>
      <w:r>
        <w:rPr>
          <w:vertAlign w:val="subscript"/>
        </w:rPr>
        <w:t xml:space="preserve">254</w:t>
      </w:r>
      <w:r>
        <w:t xml:space="preserve">, m</w:t>
      </w:r>
      <w:r>
        <w:rPr>
          <w:vertAlign w:val="superscript"/>
        </w:rPr>
        <w:t xml:space="preserve">-1</w:t>
      </w:r>
      <w:r>
        <w:t xml:space="preserve">), and [C]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Note that each season has a differnt y-scale to clarify patterns. The inset in panel B is an elargement of SAC</w:t>
      </w:r>
      <w:r>
        <w:rPr>
          <w:vertAlign w:val="subscript"/>
        </w:rPr>
        <w:t xml:space="preserve">254</w:t>
      </w:r>
      <w:r>
        <w:t xml:space="preserve"> </w:t>
      </w:r>
      <w:r>
        <w:t xml:space="preserve">for all sites except Weeks.</w:t>
      </w:r>
    </w:p>
    <w:p>
      <w:pPr>
        <w:pStyle w:val="BodyText"/>
      </w:pPr>
      <w:r>
        <w:t xml:space="preserve"> </w:t>
      </w:r>
    </w:p>
    <w:p>
      <w:pPr>
        <w:pStyle w:val="Heading5"/>
      </w:pPr>
      <w:bookmarkStart w:id="107" w:name="Xda7c554d98d650777bb9b10b0e50d18651a158d"/>
      <w:r>
        <w:t xml:space="preserve">Rising stage and NOM dynamics across the LWSA</w:t>
      </w:r>
      <w:bookmarkEnd w:id="107"/>
    </w:p>
    <w:p>
      <w:pPr>
        <w:pStyle w:val="FirstParagraph"/>
      </w:pPr>
      <w:r>
        <w:t xml:space="preserve">Streams across the Leech WSA responded harmoniously to precipitation with synchronous changes in stage. Over the full sixteen-month study period, stage changes at the six sites were temporally synchronized and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BodyText"/>
      </w:pPr>
      <w:r>
        <w:t xml:space="preserve">Rates of change in stream response were calculated for each site to evaluate the fastest and slowest times to peak stage and relative magnitudes of change (Table</w:t>
      </w:r>
      <w:r>
        <w:t xml:space="preserve"> </w:t>
      </w:r>
      <w:r>
        <w:t xml:space="preserve">15</w:t>
      </w:r>
      <w:r>
        <w:t xml:space="preserve">). As expected, rate of change in stage was greatest at the highest order stream, the Tunnel site, and smallest at Weeks creek.</w:t>
      </w:r>
    </w:p>
    <w:p>
      <w:pPr>
        <w:pStyle w:val="BodyText"/>
      </w:pPr>
      <w:r>
        <w:t xml:space="preserve"> </w:t>
      </w:r>
    </w:p>
    <w:p>
      <w:pPr>
        <w:pStyle w:val="TableCaption"/>
      </w:pPr>
      <w:r>
        <w:t xml:space="preserve">Table 15: Summary of Stream Response to Rain Events Across Six Monitoring sites in the Leech Water Supply Area.</w:t>
      </w:r>
    </w:p>
    <w:tbl>
      <w:tblPr>
        <w:tblStyle w:val="Table"/>
        <w:tblW w:type="pct" w:w="5000.0"/>
        <w:tblLook w:firstRow="1"/>
        <w:tblCaption w:val="Table 15: Summary of Stream Response to Rain Events Across Six Monitoring sites in the Leech Water Supply Are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is a similar harmony was present for fluctuations in DOC or spectral properties, the proportion of common DOC and stage extrema samples were calculated (Table</w:t>
      </w:r>
      <w:r>
        <w:t xml:space="preserve"> </w:t>
      </w:r>
      <w:r>
        <w:t xml:space="preserve">16</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16: Proportion of Samples for Which Peak Dissolved Organic Carbon (DOC) was Collected at the Highest Sample Stage.</w:t>
      </w:r>
    </w:p>
    <w:tbl>
      <w:tblPr>
        <w:tblStyle w:val="Table"/>
        <w:tblW w:type="pct" w:w="0.0"/>
        <w:tblLook w:firstRow="1"/>
        <w:tblCaption w:val="Table 16: Proportion of Samples for Which Peak Dissolved Organic Carbon (DOC)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Each of the six site’s samples showed majority, but not absolute, agreement in extremes of DOC-stage relationships. In general DOC concentrations were lowest at the beginning of events and increased with a rise in stage (Figure</w:t>
      </w:r>
      <w:r>
        <w:t xml:space="preserve"> </w:t>
      </w:r>
      <w:r>
        <w:t xml:space="preserve">28</w:t>
      </w:r>
      <w:r>
        <w:t xml:space="preserve">).</w:t>
      </w:r>
    </w:p>
    <w:p>
      <w:pPr>
        <w:pStyle w:val="BodyText"/>
      </w:pPr>
      <w:r>
        <w:t xml:space="preserve"> </w:t>
      </w:r>
    </w:p>
    <w:p>
      <w:pPr>
        <w:pStyle w:val="CaptionedFigure"/>
      </w:pPr>
      <w:r>
        <w:drawing>
          <wp:inline>
            <wp:extent cx="5943600" cy="6339839"/>
            <wp:effectExtent b="0" l="0" r="0" t="0"/>
            <wp:docPr descr="Figure 28: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08"/>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Changes in DOC during events varied from a little more than 1% DOC change to nearly 100% change during event response (Table</w:t>
      </w:r>
      <w:r>
        <w:t xml:space="preserve"> </w:t>
      </w:r>
      <w:r>
        <w:t xml:space="preserve">17</w:t>
      </w:r>
      <w:r>
        <w:t xml:space="preserve">).</w:t>
      </w:r>
    </w:p>
    <w:p>
      <w:pPr>
        <w:pStyle w:val="BodyText"/>
      </w:pPr>
      <w:r>
        <w:t xml:space="preserve"> </w:t>
      </w:r>
    </w:p>
    <w:p>
      <w:pPr>
        <w:pStyle w:val="Compact"/>
        <w:numPr>
          <w:numId w:val="1003"/>
          <w:ilvl w:val="0"/>
        </w:numPr>
      </w:pPr>
      <w:r>
        <w:t xml:space="preserve">Still to do:</w:t>
      </w:r>
      <w:r>
        <w:rPr>
          <w:i/>
          <w:b/>
        </w:rPr>
        <w:t xml:space="preserve">look at individual events and pull out interesting facts (during this event, DOC concentration tripled or doubled, etc)… + differences among events</w:t>
      </w:r>
    </w:p>
    <w:p>
      <w:pPr>
        <w:pStyle w:val="FirstParagraph"/>
      </w:pPr>
      <w:r>
        <w:t xml:space="preserve"> </w:t>
      </w:r>
    </w:p>
    <w:p>
      <w:pPr>
        <w:pStyle w:val="TableCaption"/>
      </w:pPr>
      <w:r>
        <w:t xml:space="preserve">Table 17: Summary of DOC Changes Within Stormflow Response to Precipitation Events Across the Leech WSA (Samples from Wet Season Only).</w:t>
      </w:r>
    </w:p>
    <w:tbl>
      <w:tblPr>
        <w:tblStyle w:val="Table"/>
        <w:tblW w:type="pct" w:w="5000.0"/>
        <w:tblLook w:firstRow="1"/>
        <w:tblCaption w:val="Table 17: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BodyText"/>
      </w:pPr>
      <w:r>
        <w:t xml:space="preserve">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 (Figure</w:t>
      </w:r>
      <w:r>
        <w:t xml:space="preserve"> </w:t>
      </w:r>
      <w:r>
        <w:t xml:space="preserve">29</w:t>
      </w:r>
      <w:r>
        <w:t xml:space="preserve">).</w:t>
      </w:r>
    </w:p>
    <w:p>
      <w:pPr>
        <w:pStyle w:val="BodyText"/>
      </w:pPr>
      <w:r>
        <w:t xml:space="preserve"> </w:t>
      </w:r>
    </w:p>
    <w:p>
      <w:pPr>
        <w:pStyle w:val="CaptionedFigure"/>
      </w:pPr>
      <w:r>
        <w:drawing>
          <wp:inline>
            <wp:extent cx="5504749" cy="6880936"/>
            <wp:effectExtent b="0" l="0" r="0" t="0"/>
            <wp:docPr descr="Figure 29:  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 title="" id="1" name="Picture"/>
            <a:graphic>
              <a:graphicData uri="http://schemas.openxmlformats.org/drawingml/2006/picture">
                <pic:pic>
                  <pic:nvPicPr>
                    <pic:cNvPr descr="R-outputs_UBC-forWater-MSc_HMc/figures/Ch4_StageNorm_DOC-NOM.png" id="0" name="Picture"/>
                    <pic:cNvPicPr>
                      <a:picLocks noChangeArrowheads="1" noChangeAspect="1"/>
                    </pic:cNvPicPr>
                  </pic:nvPicPr>
                  <pic:blipFill>
                    <a:blip r:embed="rId109"/>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t xml:space="preserve">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w:t>
      </w:r>
    </w:p>
    <w:p>
      <w:pPr>
        <w:pStyle w:val="BodyText"/>
      </w:pPr>
      <w:r>
        <w:br/>
      </w:r>
    </w:p>
    <w:p>
      <w:pPr>
        <w:pStyle w:val="Heading4"/>
      </w:pPr>
      <w:bookmarkStart w:id="110" w:name="Xc912ebbb21e26bf11bbd35330a428a0b93c51e2"/>
      <w:r>
        <w:t xml:space="preserve">Hysteresis of NOM with predictor variables</w:t>
      </w:r>
      <w:bookmarkEnd w:id="110"/>
    </w:p>
    <w:p>
      <w:pPr>
        <w:pStyle w:val="FirstParagraph"/>
      </w:pPr>
      <w:r>
        <w:t xml:space="preserve">Events 10 and 11 were relatively well represented by sampling and were found to be representative of other rain events as well. Wilcoxon tests showed events 10 and 11 were not statistically different from the other sampling events, with the same mean rain amounts (p = 0.732), durations (p = 0.837), and intensity (p = 0.549).</w:t>
      </w:r>
    </w:p>
    <w:p>
      <w:pPr>
        <w:pStyle w:val="BodyText"/>
      </w:pPr>
      <w:r>
        <w:t xml:space="preserve"> </w:t>
      </w:r>
    </w:p>
    <w:p>
      <w:pPr>
        <w:pStyle w:val="CaptionedFigure"/>
      </w:pPr>
      <w:r>
        <w:drawing>
          <wp:inline>
            <wp:extent cx="5504749" cy="5963478"/>
            <wp:effectExtent b="0" l="0" r="0" t="0"/>
            <wp:docPr descr="Figure 30:  Stage and sample collection points six Leech watershed monitoring sites during rain events 10 and 11 (fall 2019). Vertical yellow lines indicate the start of each rain event. Results of samples in each event were compared to antecedent 30-day rain to assess hysteretic behaviour." title="" id="1" name="Picture"/>
            <a:graphic>
              <a:graphicData uri="http://schemas.openxmlformats.org/drawingml/2006/picture">
                <pic:pic>
                  <pic:nvPicPr>
                    <pic:cNvPr descr="R-outputs_UBC-forWater-MSc_HMc/figures/Ch4_sampling-events_10-11.png" id="0" name="Picture"/>
                    <pic:cNvPicPr>
                      <a:picLocks noChangeArrowheads="1" noChangeAspect="1"/>
                    </pic:cNvPicPr>
                  </pic:nvPicPr>
                  <pic:blipFill>
                    <a:blip r:embed="rId111"/>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t xml:space="preserve">Stage and sample collection points six Leech watershed monitoring sites during rain events 10 and 11 (fall 2019). Vertical yellow lines indicate the start of each rain event. Results of samples in each event were compared to antecedent 30-day rain to assess hysteretic behaviour.</w:t>
      </w:r>
    </w:p>
    <w:p>
      <w:pPr>
        <w:pStyle w:val="BodyText"/>
      </w:pPr>
      <w:r>
        <w:t xml:space="preserve"> </w:t>
      </w:r>
    </w:p>
    <w:p>
      <w:pPr>
        <w:pStyle w:val="CaptionedFigure"/>
      </w:pPr>
      <w:r>
        <w:drawing>
          <wp:inline>
            <wp:extent cx="5504749" cy="5504749"/>
            <wp:effectExtent b="0" l="0" r="0" t="0"/>
            <wp:docPr descr="Figure 31:  Dissolved organic carbon (DOC) concentrations plotted with antecedent 30-day rain during events 10 and 11 at six monitoring sites in the Leech watershed." title="" id="1" name="Picture"/>
            <a:graphic>
              <a:graphicData uri="http://schemas.openxmlformats.org/drawingml/2006/picture">
                <pic:pic>
                  <pic:nvPicPr>
                    <pic:cNvPr descr="R-outputs_UBC-forWater-MSc_HMc/figures/Ch4_hysteresis_DOC-wetness.png" id="0" name="Picture"/>
                    <pic:cNvPicPr>
                      <a:picLocks noChangeArrowheads="1" noChangeAspect="1"/>
                    </pic:cNvPicPr>
                  </pic:nvPicPr>
                  <pic:blipFill>
                    <a:blip r:embed="rId11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t xml:space="preserve">Dissolved organic carbon (DOC) concentrations plotted with antecedent 30-day rain during events 10 and 11 at six monitoring sites in the Leech watershed.</w:t>
      </w:r>
    </w:p>
    <w:p>
      <w:pPr>
        <w:pStyle w:val="BodyText"/>
      </w:pPr>
      <w:r>
        <w:t xml:space="preserve"> </w:t>
      </w:r>
    </w:p>
    <w:p>
      <w:pPr>
        <w:pStyle w:val="Heading3"/>
      </w:pPr>
      <w:bookmarkStart w:id="113" w:name="discussion"/>
      <w:r>
        <w:t xml:space="preserve">Discussion</w:t>
      </w:r>
      <w:bookmarkEnd w:id="113"/>
    </w:p>
    <w:p>
      <w:pPr>
        <w:pStyle w:val="FirstParagraph"/>
      </w:pPr>
      <w:r>
        <w:t xml:space="preserve">DOC concentrations were highest early in the wet season with peak concentrations found in the first event-based samples, while aromaticity of NOM peaked in later events. For smaller and less aromatic NOM, peak rain events were third in the wet season while larger more aromatic NOM peaked in the final events of the sampled wet seasons. These results indicate that early wet-season rain events export DOC-rich, aliphatic NOM from sources that are likely autochthonous and quickly depleted. Later wet-season rain events transport larger, more aromatic NOM from source pools that are likely allochthonous humic material whose export relies on greater landscape saturation and hydrologic connectivity. While DOC decreased across the wet season, the highest DOC sample was found at the highest sampled stage approximately 80% of the time.</w:t>
      </w:r>
    </w:p>
    <w:p>
      <w:pPr>
        <w:pStyle w:val="BodyText"/>
      </w:pPr>
      <w:r>
        <w:t xml:space="preserve"> </w:t>
      </w:r>
    </w:p>
    <w:p>
      <w:pPr>
        <w:pStyle w:val="BodyText"/>
      </w:pPr>
      <w:r>
        <w:t xml:space="preserve">Indeed, Random Forest variable importance measure showed that weather conditions, especially antecedent wetness, ranked among the most important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Antecedent wetness is an important watershed driver for NOM export as it influences the availability of source material and impacts hydrologic connectivity, or flow paths</w:t>
      </w:r>
      <w:r>
        <w:t xml:space="preserve"> </w:t>
      </w:r>
      <w:r>
        <w:t xml:space="preserve">(McMillan et al.</w:t>
      </w:r>
      <w:r>
        <w:t xml:space="preserve"> </w:t>
      </w:r>
      <w:hyperlink w:anchor="ref-McMillan2018">
        <w:r>
          <w:rPr>
            <w:rStyle w:val="Hyperlink"/>
          </w:rPr>
          <w:t xml:space="preserve">2018</w:t>
        </w:r>
      </w:hyperlink>
      <w:r>
        <w:t xml:space="preserve">)</w:t>
      </w:r>
      <w:r>
        <w:t xml:space="preserve">. Aromaticity of NOM increased with antecedent wetness and sampling stage up to a threshold level for each (approximately 75% of maximum stage and about 150 mm of 30-day antecedent rain). The apparent thresholds of sampling stage and antecedent wetness as drivers for NOM character suggest a point at which humic NOM sources either reach maximum connectivity with the streams, or that the aromatic source pools are depleted.</w:t>
      </w:r>
    </w:p>
    <w:p>
      <w:pPr>
        <w:pStyle w:val="BodyText"/>
      </w:pPr>
      <w:r>
        <w:t xml:space="preserve"> </w:t>
      </w:r>
    </w:p>
    <w:p>
      <w:pPr>
        <w:pStyle w:val="BodyText"/>
      </w:pPr>
      <w:r>
        <w:t xml:space="preserve">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w:t>
      </w:r>
    </w:p>
    <w:p>
      <w:pPr>
        <w:pStyle w:val="BodyText"/>
      </w:pPr>
      <w:r>
        <w:t xml:space="preserve">  the magnitude and direction of water quality changes in response to precipitation,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rising limb Rack samples showed that DOC increased with increasing stage and peak DOC coincided with peak sampling stage approximately 80% of the time.</w:t>
      </w:r>
    </w:p>
    <w:p>
      <w:pPr>
        <w:pStyle w:val="FirstParagraph"/>
      </w:pPr>
      <w:r>
        <w:t xml:space="preserve"> </w:t>
      </w:r>
    </w:p>
    <w:p>
      <w:pPr>
        <w:pStyle w:val="SourceCode"/>
      </w:pPr>
    </w:p>
    <w:p>
      <w:pPr>
        <w:pStyle w:val="FirstParagraph"/>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rPr>
          <w:i/>
          <w:b/>
        </w:rPr>
        <w:t xml:space="preserve">Future directions:</w:t>
      </w:r>
    </w:p>
    <w:p>
      <w:pPr>
        <w:pStyle w:val="BodyText"/>
      </w:pPr>
      <w:r>
        <w:t xml:space="preserve"> </w:t>
      </w:r>
    </w:p>
    <w:p>
      <w:pPr>
        <w:pStyle w:val="BodyText"/>
      </w:pPr>
      <w:r>
        <w:t xml:space="preserve">With additional Fire-weather data, it would be interesting to explore whether the variables for fire risk (humidity) were also predictors for increased NOM or DOC.</w:t>
      </w:r>
    </w:p>
    <w:p>
      <w:pPr>
        <w:pStyle w:val="BodyText"/>
      </w:pPr>
      <w:r>
        <w:t xml:space="preserve"> </w:t>
      </w:r>
    </w:p>
    <w:p>
      <w:pPr>
        <w:pStyle w:val="Compact"/>
        <w:numPr>
          <w:numId w:val="1005"/>
          <w:ilvl w:val="0"/>
        </w:numPr>
      </w:pPr>
      <w:r>
        <w:t xml:space="preserve">matched sample filling-stage with continuous logger stage could be combined with rating curve to determine mass transport or loading…</w:t>
      </w:r>
    </w:p>
    <w:p>
      <w:pPr>
        <w:pStyle w:val="FirstParagraph"/>
      </w:pPr>
      <w:r>
        <w:t xml:space="preserve">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Heading3"/>
      </w:pPr>
      <w:bookmarkStart w:id="114" w:name="conclusions"/>
      <w:r>
        <w:t xml:space="preserve">Conclusions</w:t>
      </w:r>
      <w:bookmarkEnd w:id="114"/>
    </w:p>
    <w:p>
      <w:pPr>
        <w:pStyle w:val="Compact"/>
        <w:numPr>
          <w:numId w:val="1006"/>
          <w:ilvl w:val="0"/>
        </w:numPr>
      </w:pPr>
      <w:r>
        <w:t xml:space="preserve">establishing connectivity among nested catchments as a baseline for experimental treatments (future)</w:t>
      </w:r>
    </w:p>
    <w:p>
      <w:pPr>
        <w:pStyle w:val="Heading2"/>
      </w:pPr>
      <w:bookmarkStart w:id="115" w:name="summary-conclusions"/>
      <w:r>
        <w:t xml:space="preserve">Summary &amp; Conclusions</w:t>
      </w:r>
      <w:bookmarkEnd w:id="115"/>
    </w:p>
    <w:p>
      <w:pPr>
        <w:pStyle w:val="Heading3"/>
      </w:pPr>
      <w:bookmarkStart w:id="116" w:name="X8db5f38833cbb48dc6afb8e20d30ffa86edd60c"/>
      <w:r>
        <w:t xml:space="preserve">Discussion of results in context of drinking water supply</w:t>
      </w:r>
      <w:bookmarkEnd w:id="116"/>
    </w:p>
    <w:p>
      <w:pPr>
        <w:pStyle w:val="FirstParagraph"/>
      </w:pPr>
      <w:r>
        <w:t xml:space="preserve">What are the implications for watershed management and future drinking water supply?</w:t>
      </w:r>
    </w:p>
    <w:p>
      <w:pPr>
        <w:pStyle w:val="BodyText"/>
      </w:pPr>
      <w:r>
        <w:t xml:space="preserve">Provide context of how results can be used to inform watershed management planning for wildfire reduction strategies and design of continued water quality monitoring for future inter-basin transfers.</w:t>
      </w:r>
    </w:p>
    <w:p>
      <w:pPr>
        <w:pStyle w:val="Compact"/>
        <w:numPr>
          <w:numId w:val="1007"/>
          <w:ilvl w:val="0"/>
        </w:numPr>
      </w:pPr>
      <w:r>
        <w:t xml:space="preserve">conflicting objectives and competing values (Peter Duinker’s work)</w:t>
      </w:r>
    </w:p>
    <w:p>
      <w:pPr>
        <w:pStyle w:val="Compact"/>
        <w:numPr>
          <w:numId w:val="1008"/>
          <w:ilvl w:val="1"/>
        </w:numPr>
      </w:pPr>
      <w:r>
        <w:t xml:space="preserve">managing temperate forests for timber removes carbon pools, managing for protection may increase the carbon, thus protection does not necessarily improve water quality.</w:t>
      </w:r>
    </w:p>
    <w:p>
      <w:pPr>
        <w:pStyle w:val="Compact"/>
        <w:numPr>
          <w:numId w:val="1008"/>
          <w:ilvl w:val="1"/>
        </w:numPr>
      </w:pPr>
      <w:r>
        <w:t xml:space="preserve">timber / carbon sequestration / water / biodiversity</w:t>
      </w:r>
    </w:p>
    <w:p>
      <w:pPr>
        <w:pStyle w:val="Compact"/>
        <w:numPr>
          <w:numId w:val="1007"/>
          <w:ilvl w:val="0"/>
        </w:numPr>
      </w:pPr>
      <w:r>
        <w:t xml:space="preserve">source water quality in rivers is unlikely to reflect the water at the intake tower</w:t>
      </w:r>
    </w:p>
    <w:p>
      <w:pPr>
        <w:pStyle w:val="Compact"/>
        <w:numPr>
          <w:numId w:val="1009"/>
          <w:ilvl w:val="1"/>
        </w:numPr>
      </w:pPr>
      <w:r>
        <w:t xml:space="preserve">reservoir residence times</w:t>
      </w:r>
    </w:p>
    <w:p>
      <w:pPr>
        <w:pStyle w:val="Compact"/>
        <w:numPr>
          <w:numId w:val="1009"/>
          <w:ilvl w:val="1"/>
        </w:numPr>
      </w:pPr>
      <w:r>
        <w:t xml:space="preserve">photodegradation</w:t>
      </w:r>
    </w:p>
    <w:p>
      <w:pPr>
        <w:pStyle w:val="Compact"/>
        <w:numPr>
          <w:numId w:val="1009"/>
          <w:ilvl w:val="1"/>
        </w:numPr>
      </w:pPr>
      <w:r>
        <w:t xml:space="preserve">physiochemcial reactions and changes</w:t>
      </w:r>
    </w:p>
    <w:p>
      <w:pPr>
        <w:pStyle w:val="Compact"/>
        <w:numPr>
          <w:numId w:val="1009"/>
          <w:ilvl w:val="1"/>
        </w:numPr>
      </w:pPr>
      <w:r>
        <w:t xml:space="preserve">biodegradation // transformation // bioproduction of NOM</w:t>
      </w:r>
    </w:p>
    <w:p>
      <w:pPr>
        <w:pStyle w:val="Compact"/>
        <w:numPr>
          <w:numId w:val="1009"/>
          <w:ilvl w:val="1"/>
        </w:numPr>
      </w:pPr>
      <w:r>
        <w:t xml:space="preserve">the rivers introduce new material and new conditions (e.g. different temperatures, dissolved oxygen, carbonate for buffering or organic acids altering pH, new microbiota) the</w:t>
      </w:r>
    </w:p>
    <w:p>
      <w:pPr>
        <w:pStyle w:val="Compact"/>
        <w:numPr>
          <w:numId w:val="1009"/>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09"/>
          <w:ilvl w:val="1"/>
        </w:numPr>
      </w:pPr>
      <w:r>
        <w:t xml:space="preserve">UV degradation is likely in lakes</w:t>
      </w:r>
    </w:p>
    <w:p>
      <w:pPr>
        <w:pStyle w:val="Compact"/>
        <w:numPr>
          <w:numId w:val="1009"/>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r>
        <w:pict>
          <v:rect style="width:0;height:1.5pt" o:hralign="center" o:hrstd="t" o:hr="t"/>
        </w:pict>
      </w:r>
    </w:p>
    <w:p>
      <w:pPr>
        <w:pStyle w:val="FirstParagraph"/>
      </w:pPr>
      <w:r>
        <w:t xml:space="preserve"> </w:t>
      </w:r>
    </w:p>
    <w:p>
      <w:pPr>
        <w:pStyle w:val="BodyText"/>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r>
        <w:pict>
          <v:rect style="width:0;height:1.5pt" o:hralign="center" o:hrstd="t" o:hr="t"/>
        </w:pict>
      </w:r>
    </w:p>
    <w:p>
      <w:pPr>
        <w:pStyle w:val="Heading3"/>
      </w:pPr>
      <w:bookmarkStart w:id="117" w:name="concluding-remarks"/>
      <w:r>
        <w:t xml:space="preserve">Concluding remarks</w:t>
      </w:r>
      <w:bookmarkEnd w:id="117"/>
    </w:p>
    <w:p>
      <w:pPr>
        <w:pStyle w:val="FirstParagraph"/>
      </w:pPr>
      <w:r>
        <w:rPr>
          <w:i/>
          <w:b/>
        </w:rPr>
        <w:t xml:space="preserve">answer all these questions in summary</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10"/>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1"/>
          <w:ilvl w:val="0"/>
        </w:numPr>
      </w:pPr>
      <w:r>
        <w:t xml:space="preserve">Across the LWSA, was the variance in DOC greater within each site or among all sites?</w:t>
      </w:r>
    </w:p>
    <w:p>
      <w:pPr>
        <w:numPr>
          <w:numId w:val="1011"/>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18" w:name="references"/>
      <w:r>
        <w:t xml:space="preserve">References</w:t>
      </w:r>
      <w:bookmarkEnd w:id="118"/>
    </w:p>
    <w:p>
      <w:pPr>
        <w:pStyle w:val="Heading1"/>
      </w:pPr>
      <w:bookmarkStart w:id="119" w:name="appendices"/>
      <w:r>
        <w:t xml:space="preserve">Appendices</w:t>
      </w:r>
      <w:bookmarkEnd w:id="119"/>
    </w:p>
    <w:p>
      <w:pPr>
        <w:pStyle w:val="Heading7"/>
      </w:pPr>
      <w:bookmarkStart w:id="120" w:name="technology-summary"/>
      <w:r>
        <w:t xml:space="preserve">Technology summary</w:t>
      </w:r>
      <w:bookmarkEnd w:id="120"/>
    </w:p>
    <w:p>
      <w:pPr>
        <w:pStyle w:val="FirstParagraph"/>
      </w:pPr>
      <w:r>
        <w:t xml:space="preserve">Digital equipment used in this thesis are summarized here.</w:t>
      </w:r>
    </w:p>
    <w:p>
      <w:pPr>
        <w:pStyle w:val="BodyText"/>
      </w:pPr>
      <w:r>
        <w:t xml:space="preserve"> </w:t>
      </w:r>
    </w:p>
    <w:tbl>
      <w:tblPr>
        <w:tblStyle w:val="Table"/>
        <w:tblW w:type="pct" w:w="5000.0"/>
        <w:tblLook w:firstRow="1"/>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21" w:name="Xe94dc613e79104e648a7e62ba8d389c33fd5369"/>
      <w:r>
        <w:t xml:space="preserve">NSERC forWater Network &amp; the Capital Regional District</w:t>
      </w:r>
      <w:bookmarkEnd w:id="121"/>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p>
    <w:p>
      <w:pPr>
        <w:pStyle w:val="Heading8"/>
      </w:pPr>
      <w:bookmarkStart w:id="122" w:name="X98dc39d856ad51b9fee1476a54ede95168b6c62"/>
      <w:r>
        <w:t xml:space="preserve">Greater Victoria Regional Water Supply System, CRD</w:t>
      </w:r>
      <w:bookmarkEnd w:id="122"/>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p>
    <w:p>
      <w:pPr>
        <w:pStyle w:val="Heading8"/>
      </w:pPr>
      <w:bookmarkStart w:id="123" w:name="Xcf21184d8ccce3de636021e865985ac80b4f9f9"/>
      <w:r>
        <w:t xml:space="preserve">Leech water supply area monitoring sites: details and observations</w:t>
      </w:r>
      <w:bookmarkEnd w:id="123"/>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BodyText"/>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24" w:name="weeks-creek-site-1"/>
      <w:r>
        <w:t xml:space="preserve">Weeks Creek (site 1)</w:t>
      </w:r>
      <w:bookmarkEnd w:id="124"/>
    </w:p>
    <w:p>
      <w:pPr>
        <w:pStyle w:val="FirstParagraph"/>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Heading9"/>
      </w:pPr>
      <w:bookmarkStart w:id="125" w:name="chris-creek-site-2"/>
      <w:r>
        <w:t xml:space="preserve">Chris Creek (site 2)</w:t>
      </w:r>
      <w:bookmarkEnd w:id="125"/>
    </w:p>
    <w:p>
      <w:pPr>
        <w:pStyle w:val="FirstParagraph"/>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Heading9"/>
      </w:pPr>
      <w:bookmarkStart w:id="126" w:name="leech-head-site-3"/>
      <w:r>
        <w:t xml:space="preserve">Leech Head (site 3)</w:t>
      </w:r>
      <w:bookmarkEnd w:id="126"/>
    </w:p>
    <w:p>
      <w:pPr>
        <w:pStyle w:val="FirstParagraph"/>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27" w:name="cragg-creek-site-4"/>
      <w:r>
        <w:t xml:space="preserve">Cragg Creek (site 4)</w:t>
      </w:r>
      <w:bookmarkEnd w:id="127"/>
    </w:p>
    <w:p>
      <w:pPr>
        <w:pStyle w:val="FirstParagraph"/>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32: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28"/>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Heading9"/>
      </w:pPr>
      <w:bookmarkStart w:id="129" w:name="west-leech-site-5"/>
      <w:r>
        <w:t xml:space="preserve">West Leech (site 5)</w:t>
      </w:r>
      <w:bookmarkEnd w:id="129"/>
    </w:p>
    <w:p>
      <w:pPr>
        <w:pStyle w:val="FirstParagraph"/>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Heading9"/>
      </w:pPr>
      <w:bookmarkStart w:id="130" w:name="leech-tunnel-site-6"/>
      <w:r>
        <w:t xml:space="preserve">Leech Tunnel (site 6)</w:t>
      </w:r>
      <w:bookmarkEnd w:id="130"/>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p>
    <w:p>
      <w:pPr>
        <w:pStyle w:val="Heading8"/>
      </w:pPr>
      <w:bookmarkStart w:id="131" w:name="X3c82df21c002a4855f328820b5a765237738175"/>
      <w:r>
        <w:t xml:space="preserve">Treatability: forWater coordinated treatability analyses for disinfection by-product formation potentials (DBP-FP)</w:t>
      </w:r>
      <w:bookmarkEnd w:id="131"/>
    </w:p>
    <w:p>
      <w:pPr>
        <w:pStyle w:val="FirstParagraph"/>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2"/>
          <w:ilvl w:val="0"/>
        </w:numPr>
      </w:pPr>
      <w:r>
        <w:t xml:space="preserve">Leech River at the future point of diversion (near Leech Tunnel inlet)</w:t>
      </w:r>
    </w:p>
    <w:p>
      <w:pPr>
        <w:pStyle w:val="Compact"/>
        <w:numPr>
          <w:numId w:val="1012"/>
          <w:ilvl w:val="0"/>
        </w:numPr>
      </w:pPr>
      <w:r>
        <w:t xml:space="preserve">Deception Reservoir, downstream from Deception Gulch (outlet of Leech Tunnel)</w:t>
      </w:r>
    </w:p>
    <w:p>
      <w:pPr>
        <w:pStyle w:val="Compact"/>
        <w:numPr>
          <w:numId w:val="1012"/>
          <w:ilvl w:val="0"/>
        </w:numPr>
      </w:pPr>
      <w:r>
        <w:t xml:space="preserve">Rithet Creek (main tributary to Sooke Reservoir)</w:t>
      </w:r>
    </w:p>
    <w:p>
      <w:pPr>
        <w:pStyle w:val="Compact"/>
        <w:numPr>
          <w:numId w:val="1012"/>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p>
    <w:p>
      <w:pPr>
        <w:pStyle w:val="Heading9"/>
      </w:pPr>
      <w:bookmarkStart w:id="132" w:name="results-treatability-doc"/>
      <w:r>
        <w:t xml:space="preserve">Results: Treatability &amp; DOC</w:t>
      </w:r>
      <w:bookmarkEnd w:id="132"/>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33</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5963478"/>
            <wp:effectExtent b="0" l="0" r="0" t="0"/>
            <wp:docPr descr="Figure 33: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133"/>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8"/>
      </w:pPr>
      <w:bookmarkStart w:id="134" w:name="X4b7b3e6ac6573f953e6980479d08b8ee7c28f75"/>
      <w:r>
        <w:t xml:space="preserve">Metals &amp; DOC: collaborative sampling for Metals on behalf of the CRD</w:t>
      </w:r>
      <w:bookmarkEnd w:id="134"/>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p>
    <w:p>
      <w:pPr>
        <w:pStyle w:val="Heading9"/>
      </w:pPr>
      <w:bookmarkStart w:id="135" w:name="metals-doc"/>
      <w:r>
        <w:t xml:space="preserve">Metals &amp; DOC</w:t>
      </w:r>
      <w:bookmarkEnd w:id="135"/>
    </w:p>
    <w:p>
      <w:pPr>
        <w:pStyle w:val="FirstParagraph"/>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34</w:t>
      </w:r>
      <w:r>
        <w:t xml:space="preserve"> </w:t>
      </w:r>
      <w:r>
        <w:t xml:space="preserve">shows DOC with total metals in μg/L, and Figure</w:t>
      </w:r>
      <w:r>
        <w:t xml:space="preserve"> </w:t>
      </w:r>
      <w:r>
        <w:t xml:space="preserve">35</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34: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36"/>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34:</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35: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37"/>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35:</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18</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18:</w:t>
      </w:r>
      <w:r>
        <w:t xml:space="preserve"> </w:t>
      </w:r>
      <w:r>
        <w:rPr>
          <w:i/>
        </w:rPr>
        <w:t xml:space="preserve">Relationships between total metals with dissolved organic carbon</w:t>
      </w:r>
    </w:p>
    <w:tbl>
      <w:tblPr>
        <w:tblStyle w:val="Table"/>
        <w:tblW w:type="pct" w:w="0.0"/>
        <w:tblLook w:firstRow="1"/>
        <w:tblCaption w:val="Table 18: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8"/>
      </w:pPr>
      <w:bookmarkStart w:id="138" w:name="fwx-stations-in-the-lwsa-ancilary-data"/>
      <w:r>
        <w:t xml:space="preserve">FWx stations in the LWSA: ancilary data</w:t>
      </w:r>
      <w:bookmarkEnd w:id="138"/>
    </w:p>
    <w:p>
      <w:pPr>
        <w:pStyle w:val="FirstParagraph"/>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36</w:t>
      </w:r>
      <w:r>
        <w:t xml:space="preserve">, Table</w:t>
      </w:r>
      <w:r>
        <w:t xml:space="preserve"> </w:t>
      </w:r>
      <w:r>
        <w:t xml:space="preserve">19</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6: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39"/>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36:</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19: Annual weather from CRD FWx stations in the Leech water supply area*</w:t>
      </w:r>
    </w:p>
    <w:tbl>
      <w:tblPr>
        <w:tblStyle w:val="Table"/>
        <w:tblW w:type="pct" w:w="5000.0"/>
        <w:tblLook w:firstRow="1"/>
        <w:tblCaption w:val="Table 19: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p>
    <w:p>
      <w:pPr>
        <w:pStyle w:val="Heading7"/>
      </w:pPr>
      <w:bookmarkStart w:id="140" w:name="X7c6356a43fe14fad85e2bfec714ae5604410a47"/>
      <w:r>
        <w:t xml:space="preserve">Linear regression for air temperatures at vertical racks</w:t>
      </w:r>
      <w:bookmarkEnd w:id="140"/>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37</w:t>
      </w:r>
      <w:r>
        <w:t xml:space="preserve">).</w:t>
      </w:r>
    </w:p>
    <w:p>
      <w:pPr>
        <w:pStyle w:val="BodyText"/>
      </w:pPr>
      <w:r>
        <w:t xml:space="preserve"> </w:t>
      </w:r>
    </w:p>
    <w:p>
      <w:pPr>
        <w:pStyle w:val="CaptionedFigure"/>
      </w:pPr>
      <w:r>
        <w:drawing>
          <wp:inline>
            <wp:extent cx="5504749" cy="5504749"/>
            <wp:effectExtent b="0" l="0" r="0" t="0"/>
            <wp:docPr descr="Figure 37: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4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38</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8: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42"/>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38:</w:t>
      </w:r>
      <w:r>
        <w:t xml:space="preserve"> </w:t>
      </w:r>
      <w:r>
        <w:rPr>
          <w:i/>
        </w:rPr>
        <w:t xml:space="preserve">Temperatures recorded in air and water on vertical racks at each research site.</w:t>
      </w:r>
    </w:p>
    <w:p>
      <w:pPr>
        <w:pStyle w:val="BodyText"/>
      </w:pPr>
      <w:r>
        <w:t xml:space="preserve"> </w:t>
      </w:r>
    </w:p>
    <w:p>
      <w:pPr>
        <w:pStyle w:val="Heading8"/>
      </w:pPr>
      <w:bookmarkStart w:id="143" w:name="Xcb91ee272f7dfa22c755b18931f0aed63be860e"/>
      <w:r>
        <w:t xml:space="preserve">Linear regression: air temperature estimation</w:t>
      </w:r>
      <w:bookmarkEnd w:id="143"/>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39</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9: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4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39:</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20</w:t>
      </w:r>
      <w:r>
        <w:t xml:space="preserve">) with no statistical difference (at 90% confidence) for Cragg Crk, West Leech and the Tunnel (sites 4, 5, 6).</w:t>
      </w:r>
    </w:p>
    <w:p>
      <w:pPr>
        <w:pStyle w:val="BodyText"/>
      </w:pPr>
      <w:r>
        <w:t xml:space="preserve"> </w:t>
      </w:r>
    </w:p>
    <w:p>
      <w:pPr>
        <w:pStyle w:val="TableCaption"/>
      </w:pPr>
      <w:r>
        <w:t xml:space="preserve">Table 20:</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0: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40</w:t>
      </w:r>
      <w:r>
        <w:t xml:space="preserve">). Table</w:t>
      </w:r>
      <w:r>
        <w:t xml:space="preserve"> </w:t>
      </w:r>
      <w:r>
        <w:t xml:space="preserve">21</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21:</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1: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40: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45"/>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40:</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BodyText"/>
      </w:pPr>
      <w:r>
        <w:t xml:space="preserve"> </w:t>
      </w:r>
    </w:p>
    <w:p>
      <w:pPr>
        <w:pStyle w:val="Heading7"/>
      </w:pPr>
      <w:bookmarkStart w:id="146" w:name="results-extended"/>
      <w:r>
        <w:t xml:space="preserve">Results extended</w:t>
      </w:r>
      <w:bookmarkEnd w:id="146"/>
    </w:p>
    <w:p>
      <w:pPr>
        <w:pStyle w:val="Heading8"/>
      </w:pPr>
      <w:bookmarkStart w:id="147" w:name="X91fa14e256c50d3b56fbacfc8ea86d69f0ab7ce"/>
      <w:r>
        <w:t xml:space="preserve">NOM sampling in nested catchments (from Ch.2)</w:t>
      </w:r>
      <w:bookmarkEnd w:id="147"/>
    </w:p>
    <w:p>
      <w:pPr>
        <w:pStyle w:val="FirstParagraph"/>
      </w:pPr>
      <w:r>
        <w:t xml:space="preserve">Below the confluences of headwaters sites (Figure</w:t>
      </w:r>
      <w:r>
        <w:t xml:space="preserve"> </w:t>
      </w:r>
      <w:r>
        <w:t xml:space="preserve">41</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41</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CaptionedFigure"/>
      </w:pPr>
      <w:r>
        <w:drawing>
          <wp:inline>
            <wp:extent cx="5504749" cy="5504749"/>
            <wp:effectExtent b="0" l="0" r="0" t="0"/>
            <wp:docPr descr="Figure 41: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48"/>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41:</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42</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42: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4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42:</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Heading7"/>
      </w:pPr>
      <w:bookmarkStart w:id="150" w:name="possible-trash"/>
      <w:r>
        <w:t xml:space="preserve">possible trash</w:t>
      </w:r>
      <w:bookmarkEnd w:id="150"/>
    </w:p>
    <w:p>
      <w:pPr>
        <w:pStyle w:val="Heading7"/>
      </w:pPr>
      <w:bookmarkStart w:id="151" w:name="sampling-methods-extended"/>
      <w:r>
        <w:t xml:space="preserve">Sampling methods extended</w:t>
      </w:r>
      <w:bookmarkEnd w:id="151"/>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 </w:t>
      </w:r>
    </w:p>
    <w:p>
      <w:pPr>
        <w:pStyle w:val="Heading8"/>
      </w:pPr>
      <w:bookmarkStart w:id="152" w:name="vertical-racks"/>
      <w:r>
        <w:t xml:space="preserve">Vertical racks</w:t>
      </w:r>
      <w:bookmarkEnd w:id="152"/>
    </w:p>
    <w:p>
      <w:pPr>
        <w:pStyle w:val="FirstParagraph"/>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BodyText"/>
      </w:pPr>
      <w:r>
        <w:t xml:space="preserve"> </w:t>
      </w:r>
    </w:p>
    <w:p>
      <w:pPr>
        <w:pStyle w:val="Heading8"/>
      </w:pPr>
      <w:bookmarkStart w:id="153" w:name="X4e3eb70344da6a931ae15671e47b67ae69cdd36"/>
      <w:r>
        <w:t xml:space="preserve">Prototype for falling limb passive sampling</w:t>
      </w:r>
      <w:bookmarkEnd w:id="153"/>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BodyText"/>
      </w:pPr>
      <w:r>
        <w:t xml:space="preserve"> </w:t>
      </w:r>
    </w:p>
    <w:p>
      <w:pPr>
        <w:pStyle w:val="Heading8"/>
      </w:pPr>
      <w:bookmarkStart w:id="154" w:name="field-protocol"/>
      <w:r>
        <w:t xml:space="preserve">Field protocol</w:t>
      </w:r>
      <w:bookmarkEnd w:id="154"/>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8"/>
      </w:pPr>
      <w:bookmarkStart w:id="155" w:name="malahat-5-year-weather"/>
      <w:r>
        <w:t xml:space="preserve">Malahat 5 year weather</w:t>
      </w:r>
      <w:bookmarkEnd w:id="155"/>
    </w:p>
    <w:p>
      <w:pPr>
        <w:pStyle w:val="Compact"/>
        <w:numPr>
          <w:numId w:val="1013"/>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43</w:t>
      </w:r>
      <w:r>
        <w:t xml:space="preserve"> </w:t>
      </w:r>
      <w:r>
        <w:t xml:space="preserve">shows Malahat weather data, which are summarized in Table</w:t>
      </w:r>
      <w:r>
        <w:t xml:space="preserve"> </w:t>
      </w:r>
      <w:r>
        <w:t xml:space="preserve">22</w:t>
      </w:r>
      <w:r>
        <w:t xml:space="preserve">.</w:t>
      </w:r>
    </w:p>
    <w:p>
      <w:pPr>
        <w:pStyle w:val="CaptionedFigure"/>
      </w:pPr>
      <w:r>
        <w:drawing>
          <wp:inline>
            <wp:extent cx="5943600" cy="3668888"/>
            <wp:effectExtent b="0" l="0" r="0" t="0"/>
            <wp:docPr descr="Figure 43: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56"/>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43:</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22:</w:t>
      </w:r>
      <w:r>
        <w:t xml:space="preserve"> </w:t>
      </w:r>
      <w:r>
        <w:rPr>
          <w:i/>
        </w:rPr>
        <w:t xml:space="preserve">Annual weather data from Malahat station (MoTI ID 62091)</w:t>
      </w:r>
    </w:p>
    <w:tbl>
      <w:tblPr>
        <w:tblStyle w:val="Table"/>
        <w:tblW w:type="pct" w:w="0.0"/>
        <w:tblLook w:firstRow="1"/>
        <w:tblCaption w:val="Table 22: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44</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8888"/>
            <wp:effectExtent b="0" l="0" r="0" t="0"/>
            <wp:docPr descr="Figure 44: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57"/>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44:</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23:</w:t>
      </w:r>
      <w:r>
        <w:t xml:space="preserve"> </w:t>
      </w:r>
      <w:r>
        <w:rPr>
          <w:i/>
        </w:rPr>
        <w:t xml:space="preserve">Results of Wilcoxon test for Malahat weather data before and during the study period</w:t>
      </w:r>
    </w:p>
    <w:tbl>
      <w:tblPr>
        <w:tblStyle w:val="Table"/>
        <w:tblW w:type="pct" w:w="0.0"/>
        <w:tblLook w:firstRow="1"/>
        <w:tblCaption w:val="Table 23: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p>
    <w:p>
      <w:pPr>
        <w:pStyle w:val="Heading8"/>
      </w:pPr>
      <w:bookmarkStart w:id="158" w:name="spatial-variance-in-doc-concentrations"/>
      <w:r>
        <w:t xml:space="preserve">Spatial variance in DOC concentrations</w:t>
      </w:r>
      <w:bookmarkEnd w:id="158"/>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24</w:t>
      </w:r>
      <w:r>
        <w:t xml:space="preserve">).</w:t>
      </w:r>
    </w:p>
    <w:p>
      <w:pPr>
        <w:pStyle w:val="BodyText"/>
      </w:pPr>
      <w:r>
        <w:t xml:space="preserve"> </w:t>
      </w:r>
    </w:p>
    <w:p>
      <w:pPr>
        <w:pStyle w:val="TableCaption"/>
      </w:pPr>
      <w:r>
        <w:t xml:space="preserve">Table 24:</w:t>
      </w:r>
      <w:r>
        <w:t xml:space="preserve"> </w:t>
      </w:r>
      <w:r>
        <w:rPr>
          <w:i/>
        </w:rPr>
        <w:t xml:space="preserve">Summary of DOC across the six LWSA research sites with each nested catchment classified by basin type.</w:t>
      </w:r>
    </w:p>
    <w:tbl>
      <w:tblPr>
        <w:tblStyle w:val="Table"/>
        <w:tblW w:type="pct" w:w="5000.0"/>
        <w:tblLook w:firstRow="1"/>
        <w:tblCaption w:val="Table 24: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59"/>
      </w:r>
    </w:p>
    <w:p>
      <w:pPr>
        <w:pStyle w:val="BodyText"/>
      </w:pPr>
      <w:r>
        <w:t xml:space="preserve"> </w:t>
      </w:r>
    </w:p>
    <w:p>
      <w:pPr>
        <w:pStyle w:val="BodyText"/>
      </w:pPr>
      <w:r>
        <w:t xml:space="preserve">To identify which pairs of sites had equal DOC variance Levene’s test was applied to sample DOC results. Table</w:t>
      </w:r>
      <w:r>
        <w:t xml:space="preserve"> </w:t>
      </w:r>
      <w:r>
        <w:t xml:space="preserve">25</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25:</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5: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9"/>
      </w:pPr>
      <w:bookmarkStart w:id="160" w:name="e2e3-over-time"/>
      <w:r>
        <w:t xml:space="preserve">E2E3 over time</w:t>
      </w:r>
      <w:bookmarkEnd w:id="160"/>
    </w:p>
    <w:p>
      <w:pPr>
        <w:pStyle w:val="CaptionedFigure"/>
      </w:pPr>
      <w:r>
        <w:drawing>
          <wp:inline>
            <wp:extent cx="5504749" cy="3669832"/>
            <wp:effectExtent b="0" l="0" r="0" t="0"/>
            <wp:docPr descr="Figure 45: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6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45:</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t xml:space="preserve"> </w:t>
      </w:r>
    </w:p>
    <w:bookmarkStart w:id="289" w:name="refs"/>
    <w:bookmarkStart w:id="163"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62">
        <w:r>
          <w:rPr>
            <w:rStyle w:val="Hyperlink"/>
          </w:rPr>
          <w:t xml:space="preserve">https://doi.org/10.1111/ele.12897</w:t>
        </w:r>
      </w:hyperlink>
      <w:r>
        <w:t xml:space="preserve">.</w:t>
      </w:r>
    </w:p>
    <w:bookmarkEnd w:id="163"/>
    <w:bookmarkStart w:id="165"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64">
        <w:r>
          <w:rPr>
            <w:rStyle w:val="Hyperlink"/>
          </w:rPr>
          <w:t xml:space="preserve">https://doi.org/10.1002/j.1551-8833.1995.tb06299.x</w:t>
        </w:r>
      </w:hyperlink>
      <w:r>
        <w:t xml:space="preserve">.</w:t>
      </w:r>
    </w:p>
    <w:bookmarkEnd w:id="165"/>
    <w:bookmarkStart w:id="167"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66">
        <w:r>
          <w:rPr>
            <w:rStyle w:val="Hyperlink"/>
          </w:rPr>
          <w:t xml:space="preserve">https://doi.org/10.1021/es103992s</w:t>
        </w:r>
      </w:hyperlink>
      <w:r>
        <w:t xml:space="preserve">.</w:t>
      </w:r>
    </w:p>
    <w:bookmarkEnd w:id="167"/>
    <w:bookmarkStart w:id="169"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68">
        <w:r>
          <w:rPr>
            <w:rStyle w:val="Hyperlink"/>
          </w:rPr>
          <w:t xml:space="preserve">https://doi.org/10.1016/j.jhydrol.2014.05.060</w:t>
        </w:r>
      </w:hyperlink>
      <w:r>
        <w:t xml:space="preserve">.</w:t>
      </w:r>
    </w:p>
    <w:bookmarkEnd w:id="169"/>
    <w:bookmarkStart w:id="171"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70">
        <w:r>
          <w:rPr>
            <w:rStyle w:val="Hyperlink"/>
          </w:rPr>
          <w:t xml:space="preserve">https://doi.org/10.1029/2007JG000674</w:t>
        </w:r>
      </w:hyperlink>
      <w:r>
        <w:t xml:space="preserve">.</w:t>
      </w:r>
    </w:p>
    <w:bookmarkEnd w:id="171"/>
    <w:bookmarkStart w:id="173"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72">
        <w:r>
          <w:rPr>
            <w:rStyle w:val="Hyperlink"/>
          </w:rPr>
          <w:t xml:space="preserve">http://www.standardmethods.org/</w:t>
        </w:r>
      </w:hyperlink>
      <w:r>
        <w:t xml:space="preserve">.</w:t>
      </w:r>
    </w:p>
    <w:bookmarkEnd w:id="173"/>
    <w:bookmarkStart w:id="175"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74">
        <w:r>
          <w:rPr>
            <w:rStyle w:val="Hyperlink"/>
          </w:rPr>
          <w:t xml:space="preserve">https://doi.org/10.2105/SMWW.2882.113</w:t>
        </w:r>
      </w:hyperlink>
      <w:r>
        <w:t xml:space="preserve">.</w:t>
      </w:r>
    </w:p>
    <w:bookmarkEnd w:id="175"/>
    <w:bookmarkStart w:id="177"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76">
        <w:r>
          <w:rPr>
            <w:rStyle w:val="Hyperlink"/>
          </w:rPr>
          <w:t xml:space="preserve">https://doi.org/10.1007/s11749-016-0481-7</w:t>
        </w:r>
      </w:hyperlink>
      <w:r>
        <w:t xml:space="preserve">.</w:t>
      </w:r>
    </w:p>
    <w:bookmarkEnd w:id="177"/>
    <w:bookmarkStart w:id="179"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78">
        <w:r>
          <w:rPr>
            <w:rStyle w:val="Hyperlink"/>
          </w:rPr>
          <w:t xml:space="preserve">https://doi.org/10.1201/9780367816377-11</w:t>
        </w:r>
      </w:hyperlink>
      <w:r>
        <w:t xml:space="preserve">.</w:t>
      </w:r>
    </w:p>
    <w:bookmarkEnd w:id="179"/>
    <w:bookmarkStart w:id="181" w:name="ref-BC2019"/>
    <w:p>
      <w:pPr>
        <w:pStyle w:val="Bibliography"/>
      </w:pPr>
      <w:r>
        <w:t xml:space="preserve">British Columbia Ministry of Environment. 2017. “BC Source Drinking Water Quality Guidelines: Guideline Summary.” Victoria, B.C.: Prov. B.C.</w:t>
      </w:r>
      <w:r>
        <w:t xml:space="preserve"> </w:t>
      </w:r>
      <w:hyperlink r:id="rId180">
        <w:r>
          <w:rPr>
            <w:rStyle w:val="Hyperlink"/>
          </w:rPr>
          <w:t xml:space="preserve">https://www2.gov.bc.ca/gov/content/governments/organizational-structure/ministries-organizations/ministries/environment-climate-change</w:t>
        </w:r>
      </w:hyperlink>
      <w:r>
        <w:t xml:space="preserve">.</w:t>
      </w:r>
    </w:p>
    <w:bookmarkEnd w:id="181"/>
    <w:bookmarkStart w:id="182" w:name="ref-CCME2004"/>
    <w:p>
      <w:pPr>
        <w:pStyle w:val="Bibliography"/>
      </w:pPr>
      <w:r>
        <w:t xml:space="preserve">Canadian Council of Ministers of the Environment. 2004. “From source to tap : guidance on the multi-barrier approach to safe drinking water.”</w:t>
      </w:r>
    </w:p>
    <w:bookmarkEnd w:id="182"/>
    <w:bookmarkStart w:id="184" w:name="ref-CRD"/>
    <w:p>
      <w:pPr>
        <w:pStyle w:val="Bibliography"/>
      </w:pPr>
      <w:r>
        <w:t xml:space="preserve">Capital Regional District. n.d. “Facts and Figures for the Greater Victoria Water Supply Area.” Accessed July 13, 2018.</w:t>
      </w:r>
      <w:r>
        <w:t xml:space="preserve"> </w:t>
      </w:r>
      <w:hyperlink r:id="rId183">
        <w:r>
          <w:rPr>
            <w:rStyle w:val="Hyperlink"/>
          </w:rPr>
          <w:t xml:space="preserve">https://www.crd.bc.ca/service/public-tours/watershed-tours/facts-figures</w:t>
        </w:r>
      </w:hyperlink>
      <w:r>
        <w:t xml:space="preserve">.</w:t>
      </w:r>
    </w:p>
    <w:bookmarkEnd w:id="184"/>
    <w:bookmarkStart w:id="185"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185"/>
    <w:bookmarkStart w:id="187"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86">
        <w:r>
          <w:rPr>
            <w:rStyle w:val="Hyperlink"/>
          </w:rPr>
          <w:t xml:space="preserve">https://doi.org/10.2166/aqua.2008.064</w:t>
        </w:r>
      </w:hyperlink>
      <w:r>
        <w:t xml:space="preserve">.</w:t>
      </w:r>
    </w:p>
    <w:bookmarkEnd w:id="187"/>
    <w:bookmarkStart w:id="189"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188">
        <w:r>
          <w:rPr>
            <w:rStyle w:val="Hyperlink"/>
          </w:rPr>
          <w:t xml:space="preserve">https://doi.org/10.1007/978-94-007-1363-5</w:t>
        </w:r>
      </w:hyperlink>
      <w:r>
        <w:t xml:space="preserve">.</w:t>
      </w:r>
    </w:p>
    <w:bookmarkEnd w:id="189"/>
    <w:bookmarkStart w:id="191" w:name="ref-CapitalRegionDistrict2017"/>
    <w:p>
      <w:pPr>
        <w:pStyle w:val="Bibliography"/>
      </w:pPr>
      <w:r>
        <w:t xml:space="preserve">CRD. 2017. “Regional Water Supply 2017 Strategic Plan.” Victoria, B.C.: Capital Region District, Integrated Water Services.</w:t>
      </w:r>
      <w:r>
        <w:t xml:space="preserve"> </w:t>
      </w:r>
      <w:hyperlink r:id="rId190">
        <w:r>
          <w:rPr>
            <w:rStyle w:val="Hyperlink"/>
          </w:rPr>
          <w:t xml:space="preserve">https://www.crd.bc.ca/project/past-capital-projects-and-initiatives/water-supply-plan</w:t>
        </w:r>
      </w:hyperlink>
      <w:r>
        <w:t xml:space="preserve">.</w:t>
      </w:r>
    </w:p>
    <w:bookmarkEnd w:id="191"/>
    <w:bookmarkStart w:id="193"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92">
        <w:r>
          <w:rPr>
            <w:rStyle w:val="Hyperlink"/>
          </w:rPr>
          <w:t xml:space="preserve">https://doi.org/IWSS-297445977-5079</w:t>
        </w:r>
      </w:hyperlink>
      <w:r>
        <w:t xml:space="preserve">.</w:t>
      </w:r>
    </w:p>
    <w:bookmarkEnd w:id="193"/>
    <w:bookmarkStart w:id="195"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94">
        <w:r>
          <w:rPr>
            <w:rStyle w:val="Hyperlink"/>
          </w:rPr>
          <w:t xml:space="preserve">https://doi.org/10.1139/cjfas-2014-0400</w:t>
        </w:r>
      </w:hyperlink>
      <w:r>
        <w:t xml:space="preserve">.</w:t>
      </w:r>
    </w:p>
    <w:bookmarkEnd w:id="195"/>
    <w:bookmarkStart w:id="197" w:name="ref-MWH2014"/>
    <w:p>
      <w:pPr>
        <w:pStyle w:val="Bibliography"/>
      </w:pPr>
      <w:r>
        <w:t xml:space="preserve">Critten, John C., Rhodes. Trussell, David. Hand, Kerry. Howe, and George. Tchobanoglous. 2012.</w:t>
      </w:r>
      <w:r>
        <w:t xml:space="preserve"> </w:t>
      </w:r>
      <w:r>
        <w:rPr>
          <w:i/>
        </w:rPr>
        <w:t xml:space="preserve">MWH Water Treatment Principles and Design</w:t>
      </w:r>
      <w:r>
        <w:t xml:space="preserve">. 3rd ed. Hoboken, New Jersey: John Wiley &amp; Sons, Inc.</w:t>
      </w:r>
      <w:r>
        <w:t xml:space="preserve"> </w:t>
      </w:r>
      <w:hyperlink r:id="rId196">
        <w:r>
          <w:rPr>
            <w:rStyle w:val="Hyperlink"/>
          </w:rPr>
          <w:t xml:space="preserve">https://doi.org/10.1016/B978-0-12-382092-1.00019-1</w:t>
        </w:r>
      </w:hyperlink>
      <w:r>
        <w:t xml:space="preserve">.</w:t>
      </w:r>
    </w:p>
    <w:bookmarkEnd w:id="197"/>
    <w:bookmarkStart w:id="199"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98">
        <w:r>
          <w:rPr>
            <w:rStyle w:val="Hyperlink"/>
          </w:rPr>
          <w:t xml:space="preserve">https://doi.org/10.1016/j.watres.2016.08.031</w:t>
        </w:r>
      </w:hyperlink>
      <w:r>
        <w:t xml:space="preserve">.</w:t>
      </w:r>
    </w:p>
    <w:bookmarkEnd w:id="199"/>
    <w:bookmarkStart w:id="201" w:name="ref-Diehl2007"/>
    <w:p>
      <w:pPr>
        <w:pStyle w:val="Bibliography"/>
      </w:pPr>
      <w:r>
        <w:t xml:space="preserve">Diehl, Timothy H. 2007. “A Modified Siphon Sampler for Shallow Water.” U.S. Department of the Interior, U.S. Geological Survey.</w:t>
      </w:r>
      <w:r>
        <w:t xml:space="preserve"> </w:t>
      </w:r>
      <w:hyperlink r:id="rId200">
        <w:r>
          <w:rPr>
            <w:rStyle w:val="Hyperlink"/>
          </w:rPr>
          <w:t xml:space="preserve">https://pubs.er.usgs.gov/publication/sir20075282</w:t>
        </w:r>
      </w:hyperlink>
      <w:r>
        <w:t xml:space="preserve">.</w:t>
      </w:r>
    </w:p>
    <w:bookmarkEnd w:id="201"/>
    <w:bookmarkStart w:id="203"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202">
        <w:r>
          <w:rPr>
            <w:rStyle w:val="Hyperlink"/>
          </w:rPr>
          <w:t xml:space="preserve">http://scholar.google.com/scholar?hl=en{\&amp;}btnG=Search{\&amp;}q=intitle:Running+Pure{\#}1</w:t>
        </w:r>
      </w:hyperlink>
      <w:r>
        <w:t xml:space="preserve">.</w:t>
      </w:r>
    </w:p>
    <w:bookmarkEnd w:id="203"/>
    <w:bookmarkStart w:id="205"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204">
        <w:r>
          <w:rPr>
            <w:rStyle w:val="Hyperlink"/>
          </w:rPr>
          <w:t xml:space="preserve">https://doi.org/10.1016/j.watres.2010.08.051</w:t>
        </w:r>
      </w:hyperlink>
      <w:r>
        <w:t xml:space="preserve">.</w:t>
      </w:r>
    </w:p>
    <w:bookmarkEnd w:id="205"/>
    <w:bookmarkStart w:id="206" w:name="ref-Epps1994"/>
    <w:p>
      <w:pPr>
        <w:pStyle w:val="Bibliography"/>
      </w:pPr>
      <w:r>
        <w:t xml:space="preserve">Epps, Deborah Norine. 1994. “Factors Affecting Disinfection By-Products from Surface Source Waters on Vancouver Island.” Master of Science, University of Victoria.</w:t>
      </w:r>
    </w:p>
    <w:bookmarkEnd w:id="206"/>
    <w:bookmarkStart w:id="208"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07">
        <w:r>
          <w:rPr>
            <w:rStyle w:val="Hyperlink"/>
          </w:rPr>
          <w:t xml:space="preserve">https://doi.org/10.3133/fs06700</w:t>
        </w:r>
      </w:hyperlink>
      <w:r>
        <w:t xml:space="preserve">.</w:t>
      </w:r>
    </w:p>
    <w:bookmarkEnd w:id="208"/>
    <w:bookmarkStart w:id="210"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09">
        <w:r>
          <w:rPr>
            <w:rStyle w:val="Hyperlink"/>
          </w:rPr>
          <w:t xml:space="preserve">https://doi.org/10.13031/2013.15662</w:t>
        </w:r>
      </w:hyperlink>
      <w:r>
        <w:t xml:space="preserve">.</w:t>
      </w:r>
    </w:p>
    <w:bookmarkEnd w:id="210"/>
    <w:bookmarkStart w:id="212" w:name="ref-HealthCanada2019"/>
    <w:p>
      <w:pPr>
        <w:pStyle w:val="Bibliography"/>
      </w:pPr>
      <w:r>
        <w:t xml:space="preserve">Health Canada. 2019a. “Guidance on Natural Organic Matter in Drinking Water.”</w:t>
      </w:r>
      <w:r>
        <w:t xml:space="preserve"> </w:t>
      </w:r>
      <w:hyperlink r:id="rId211">
        <w:r>
          <w:rPr>
            <w:rStyle w:val="Hyperlink"/>
          </w:rPr>
          <w:t xml:space="preserve">https://www.canada.ca/content/dam/hc-sc/documents/programs/consultation-organic-matter-drinking-water/NOM20190129-eng.pdf</w:t>
        </w:r>
      </w:hyperlink>
      <w:r>
        <w:t xml:space="preserve">.</w:t>
      </w:r>
    </w:p>
    <w:bookmarkEnd w:id="212"/>
    <w:bookmarkStart w:id="214"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13">
        <w:r>
          <w:rPr>
            <w:rStyle w:val="Hyperlink"/>
          </w:rPr>
          <w:t xml:space="preserve">https://www.canada.ca/content/dam/hc-sc/migration/hc-sc/ewh-semt/alt{\_}formats/pdf/pubs/water-eau/sum{\_}guide-res{\_}recom/summary-table-August-15-2019-eng.pdf</w:t>
        </w:r>
      </w:hyperlink>
      <w:r>
        <w:t xml:space="preserve">.</w:t>
      </w:r>
    </w:p>
    <w:bookmarkEnd w:id="214"/>
    <w:bookmarkStart w:id="216" w:name="ref-HealthCanada2006"/>
    <w:p>
      <w:pPr>
        <w:pStyle w:val="Bibliography"/>
      </w:pPr>
      <w:r>
        <w:t xml:space="preserve">HealthCanada. 2006. “Drinking Water Chlorination.”</w:t>
      </w:r>
      <w:r>
        <w:t xml:space="preserve"> </w:t>
      </w:r>
      <w:hyperlink r:id="rId215">
        <w:r>
          <w:rPr>
            <w:rStyle w:val="Hyperlink"/>
          </w:rPr>
          <w:t xml:space="preserve">https://www.canada.ca/en/health-canada/services/healthy-living/your-health/environment/drinking-water-chlorination.html</w:t>
        </w:r>
      </w:hyperlink>
      <w:r>
        <w:t xml:space="preserve">.</w:t>
      </w:r>
    </w:p>
    <w:bookmarkEnd w:id="216"/>
    <w:bookmarkStart w:id="218" w:name="ref-HealthLinkBC2018"/>
    <w:p>
      <w:pPr>
        <w:pStyle w:val="Bibliography"/>
      </w:pPr>
      <w:r>
        <w:t xml:space="preserve">HealthLinkBC. 2018. “Drinking Water Chlorination,” no. 49.</w:t>
      </w:r>
      <w:r>
        <w:t xml:space="preserve"> </w:t>
      </w:r>
      <w:hyperlink r:id="rId217">
        <w:r>
          <w:rPr>
            <w:rStyle w:val="Hyperlink"/>
          </w:rPr>
          <w:t xml:space="preserve">https://www.healthlinkbc.ca/healthlinkbc-files/drinking-water-chlorination</w:t>
        </w:r>
      </w:hyperlink>
      <w:r>
        <w:t xml:space="preserve">.</w:t>
      </w:r>
    </w:p>
    <w:bookmarkEnd w:id="218"/>
    <w:bookmarkStart w:id="220"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19">
        <w:r>
          <w:rPr>
            <w:rStyle w:val="Hyperlink"/>
          </w:rPr>
          <w:t xml:space="preserve">https://www.jstor.org/stable/40058211</w:t>
        </w:r>
      </w:hyperlink>
      <w:r>
        <w:t xml:space="preserve">.</w:t>
      </w:r>
    </w:p>
    <w:bookmarkEnd w:id="220"/>
    <w:bookmarkStart w:id="222"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21">
        <w:r>
          <w:rPr>
            <w:rStyle w:val="Hyperlink"/>
          </w:rPr>
          <w:t xml:space="preserve">https://doi.org/10.1029/2005JG000082</w:t>
        </w:r>
      </w:hyperlink>
      <w:r>
        <w:t xml:space="preserve">.</w:t>
      </w:r>
    </w:p>
    <w:bookmarkEnd w:id="222"/>
    <w:bookmarkStart w:id="224"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23">
        <w:r>
          <w:rPr>
            <w:rStyle w:val="Hyperlink"/>
          </w:rPr>
          <w:t xml:space="preserve">https://doi.org/10.1002/j.1551-8833.1995.tb06302.x</w:t>
        </w:r>
      </w:hyperlink>
      <w:r>
        <w:t xml:space="preserve">.</w:t>
      </w:r>
    </w:p>
    <w:bookmarkEnd w:id="224"/>
    <w:bookmarkStart w:id="226"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25">
        <w:r>
          <w:rPr>
            <w:rStyle w:val="Hyperlink"/>
          </w:rPr>
          <w:t xml:space="preserve">https://doi.org/doi:10.1046/j.1365-2427.1997.d01-539.x</w:t>
        </w:r>
      </w:hyperlink>
      <w:r>
        <w:t xml:space="preserve">.</w:t>
      </w:r>
    </w:p>
    <w:bookmarkEnd w:id="226"/>
    <w:bookmarkStart w:id="228"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27">
        <w:r>
          <w:rPr>
            <w:rStyle w:val="Hyperlink"/>
          </w:rPr>
          <w:t xml:space="preserve">https://www.jstor.org/stable/41311011</w:t>
        </w:r>
      </w:hyperlink>
      <w:r>
        <w:t xml:space="preserve">.</w:t>
      </w:r>
    </w:p>
    <w:bookmarkEnd w:id="228"/>
    <w:bookmarkStart w:id="230"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29">
        <w:r>
          <w:rPr>
            <w:rStyle w:val="Hyperlink"/>
          </w:rPr>
          <w:t xml:space="preserve">https://doi.org/10.1002/j.1551-8833.2002.tb10250.x</w:t>
        </w:r>
      </w:hyperlink>
      <w:r>
        <w:t xml:space="preserve">.</w:t>
      </w:r>
    </w:p>
    <w:bookmarkEnd w:id="230"/>
    <w:bookmarkStart w:id="232"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31">
        <w:r>
          <w:rPr>
            <w:rStyle w:val="Hyperlink"/>
          </w:rPr>
          <w:t xml:space="preserve">https://doi.org/10.1029/2005WR004362</w:t>
        </w:r>
      </w:hyperlink>
      <w:r>
        <w:t xml:space="preserve">.</w:t>
      </w:r>
    </w:p>
    <w:bookmarkEnd w:id="232"/>
    <w:bookmarkStart w:id="234"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33">
        <w:r>
          <w:rPr>
            <w:rStyle w:val="Hyperlink"/>
          </w:rPr>
          <w:t xml:space="preserve">https://archive.org/details/metaltransportre00lazeuoft/mode/2up</w:t>
        </w:r>
      </w:hyperlink>
      <w:r>
        <w:t xml:space="preserve">.</w:t>
      </w:r>
    </w:p>
    <w:bookmarkEnd w:id="234"/>
    <w:bookmarkStart w:id="236"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35">
        <w:r>
          <w:rPr>
            <w:rStyle w:val="Hyperlink"/>
          </w:rPr>
          <w:t xml:space="preserve">https://doi.org/10.1016/j.jhazmat.2014.02.009</w:t>
        </w:r>
      </w:hyperlink>
      <w:r>
        <w:t xml:space="preserve">.</w:t>
      </w:r>
    </w:p>
    <w:bookmarkEnd w:id="236"/>
    <w:bookmarkStart w:id="238"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37">
        <w:r>
          <w:rPr>
            <w:rStyle w:val="Hyperlink"/>
          </w:rPr>
          <w:t xml:space="preserve">https://doi.org/10.1002/rra.1504</w:t>
        </w:r>
      </w:hyperlink>
      <w:r>
        <w:t xml:space="preserve">.</w:t>
      </w:r>
    </w:p>
    <w:bookmarkEnd w:id="238"/>
    <w:bookmarkStart w:id="240"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39">
        <w:r>
          <w:rPr>
            <w:rStyle w:val="Hyperlink"/>
          </w:rPr>
          <w:t xml:space="preserve">https://doi.org/10.1016/j.chemosphere.2011.01.018</w:t>
        </w:r>
      </w:hyperlink>
      <w:r>
        <w:t xml:space="preserve">.</w:t>
      </w:r>
    </w:p>
    <w:bookmarkEnd w:id="240"/>
    <w:bookmarkStart w:id="242"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41">
        <w:r>
          <w:rPr>
            <w:rStyle w:val="Hyperlink"/>
          </w:rPr>
          <w:t xml:space="preserve">https://doi.org/10.1016/j.cis.2010.06.007</w:t>
        </w:r>
      </w:hyperlink>
      <w:r>
        <w:t xml:space="preserve">.</w:t>
      </w:r>
    </w:p>
    <w:bookmarkEnd w:id="242"/>
    <w:bookmarkStart w:id="244" w:name="ref-McMillan2018"/>
    <w:p>
      <w:pPr>
        <w:pStyle w:val="Bibliography"/>
      </w:pPr>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w:t>
      </w:r>
      <w:r>
        <w:t xml:space="preserve"> </w:t>
      </w:r>
      <w:r>
        <w:rPr>
          <w:i/>
        </w:rPr>
        <w:t xml:space="preserve">Biogeochemistry</w:t>
      </w:r>
      <w:r>
        <w:t xml:space="preserve"> </w:t>
      </w:r>
      <w:r>
        <w:t xml:space="preserve">141 (3): 487–501.</w:t>
      </w:r>
      <w:r>
        <w:t xml:space="preserve"> </w:t>
      </w:r>
      <w:hyperlink r:id="rId243">
        <w:r>
          <w:rPr>
            <w:rStyle w:val="Hyperlink"/>
          </w:rPr>
          <w:t xml:space="preserve">https://doi.org/10.1007/s10533-018-0482-6</w:t>
        </w:r>
      </w:hyperlink>
      <w:r>
        <w:t xml:space="preserve">.</w:t>
      </w:r>
    </w:p>
    <w:bookmarkEnd w:id="244"/>
    <w:bookmarkStart w:id="246"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45">
        <w:r>
          <w:rPr>
            <w:rStyle w:val="Hyperlink"/>
          </w:rPr>
          <w:t xml:space="preserve">https://www.jstor.org/stable/1937326</w:t>
        </w:r>
      </w:hyperlink>
      <w:r>
        <w:t xml:space="preserve">.</w:t>
      </w:r>
    </w:p>
    <w:bookmarkEnd w:id="246"/>
    <w:bookmarkStart w:id="248"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247">
        <w:r>
          <w:rPr>
            <w:rStyle w:val="Hyperlink"/>
          </w:rPr>
          <w:t xml:space="preserve">https://doi.org/10.14288/1.0387350</w:t>
        </w:r>
      </w:hyperlink>
      <w:r>
        <w:t xml:space="preserve">.</w:t>
      </w:r>
    </w:p>
    <w:bookmarkEnd w:id="248"/>
    <w:bookmarkStart w:id="250"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49">
        <w:r>
          <w:rPr>
            <w:rStyle w:val="Hyperlink"/>
          </w:rPr>
          <w:t xml:space="preserve">https://doi.org/10.1007/s10533-015-0103-6</w:t>
        </w:r>
      </w:hyperlink>
      <w:r>
        <w:t xml:space="preserve">.</w:t>
      </w:r>
    </w:p>
    <w:bookmarkEnd w:id="250"/>
    <w:bookmarkStart w:id="252"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51">
        <w:r>
          <w:rPr>
            <w:rStyle w:val="Hyperlink"/>
          </w:rPr>
          <w:t xml:space="preserve">http://hdl.handle.net/1885/40940</w:t>
        </w:r>
      </w:hyperlink>
      <w:r>
        <w:t xml:space="preserve">.</w:t>
      </w:r>
    </w:p>
    <w:bookmarkEnd w:id="252"/>
    <w:bookmarkStart w:id="254"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53">
        <w:r>
          <w:rPr>
            <w:rStyle w:val="Hyperlink"/>
          </w:rPr>
          <w:t xml:space="preserve">https://doi.org/10.5194/bg-10-2315-2013</w:t>
        </w:r>
      </w:hyperlink>
      <w:r>
        <w:t xml:space="preserve">.</w:t>
      </w:r>
    </w:p>
    <w:bookmarkEnd w:id="254"/>
    <w:bookmarkStart w:id="256"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55">
        <w:r>
          <w:rPr>
            <w:rStyle w:val="Hyperlink"/>
          </w:rPr>
          <w:t xml:space="preserve">http://www.jstor.com/stable/41295152</w:t>
        </w:r>
      </w:hyperlink>
      <w:r>
        <w:t xml:space="preserve">.</w:t>
      </w:r>
    </w:p>
    <w:bookmarkEnd w:id="256"/>
    <w:bookmarkStart w:id="258"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57">
        <w:r>
          <w:rPr>
            <w:rStyle w:val="Hyperlink"/>
          </w:rPr>
          <w:t xml:space="preserve">https://doi.org/10.1007/s11270-013-1651-9</w:t>
        </w:r>
      </w:hyperlink>
      <w:r>
        <w:t xml:space="preserve">.</w:t>
      </w:r>
    </w:p>
    <w:bookmarkEnd w:id="258"/>
    <w:bookmarkStart w:id="260"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59">
        <w:r>
          <w:rPr>
            <w:rStyle w:val="Hyperlink"/>
          </w:rPr>
          <w:t xml:space="preserve">https://doi.org/10.1016/S0003-2670(96)00412-6</w:t>
        </w:r>
      </w:hyperlink>
      <w:r>
        <w:t xml:space="preserve">.</w:t>
      </w:r>
    </w:p>
    <w:bookmarkEnd w:id="260"/>
    <w:bookmarkStart w:id="262"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61">
        <w:r>
          <w:rPr>
            <w:rStyle w:val="Hyperlink"/>
          </w:rPr>
          <w:t xml:space="preserve">https://www.for.gov.bc.ca/hfd/pubs/docs/lmh/Lmh66/LMH66{\_}volume2of2.pdf</w:t>
        </w:r>
      </w:hyperlink>
      <w:r>
        <w:t xml:space="preserve">.</w:t>
      </w:r>
    </w:p>
    <w:bookmarkEnd w:id="262"/>
    <w:bookmarkStart w:id="263"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63"/>
    <w:bookmarkStart w:id="265"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64">
        <w:r>
          <w:rPr>
            <w:rStyle w:val="Hyperlink"/>
          </w:rPr>
          <w:t xml:space="preserve">https://doi.org/10.1007/sl0533-010-9416-7</w:t>
        </w:r>
      </w:hyperlink>
      <w:r>
        <w:t xml:space="preserve">.</w:t>
      </w:r>
    </w:p>
    <w:bookmarkEnd w:id="265"/>
    <w:bookmarkStart w:id="267"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66">
        <w:r>
          <w:rPr>
            <w:rStyle w:val="Hyperlink"/>
          </w:rPr>
          <w:t xml:space="preserve">https://www.jstor.org/stable/24702986</w:t>
        </w:r>
      </w:hyperlink>
      <w:r>
        <w:t xml:space="preserve">.</w:t>
      </w:r>
    </w:p>
    <w:bookmarkEnd w:id="267"/>
    <w:bookmarkStart w:id="269"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268">
        <w:r>
          <w:rPr>
            <w:rStyle w:val="Hyperlink"/>
          </w:rPr>
          <w:t xml:space="preserve">https://doi.org/10.1016/j.scitotenv.2016.09.113</w:t>
        </w:r>
      </w:hyperlink>
      <w:r>
        <w:t xml:space="preserve">.</w:t>
      </w:r>
    </w:p>
    <w:bookmarkEnd w:id="269"/>
    <w:bookmarkStart w:id="271"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70">
        <w:r>
          <w:rPr>
            <w:rStyle w:val="Hyperlink"/>
          </w:rPr>
          <w:t xml:space="preserve">https://doi.org/10.1111/j.1365-2427.2011.02613.x</w:t>
        </w:r>
      </w:hyperlink>
      <w:r>
        <w:t xml:space="preserve">.</w:t>
      </w:r>
    </w:p>
    <w:bookmarkEnd w:id="271"/>
    <w:bookmarkStart w:id="273"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272">
        <w:r>
          <w:rPr>
            <w:rStyle w:val="Hyperlink"/>
          </w:rPr>
          <w:t xml:space="preserve">https://doi.org/10.1186/1471-2105-9-307</w:t>
        </w:r>
      </w:hyperlink>
      <w:r>
        <w:t xml:space="preserve">.</w:t>
      </w:r>
    </w:p>
    <w:bookmarkEnd w:id="273"/>
    <w:bookmarkStart w:id="275"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274">
        <w:r>
          <w:rPr>
            <w:rStyle w:val="Hyperlink"/>
          </w:rPr>
          <w:t xml:space="preserve">https://doi.org/10.1037/a0016973</w:t>
        </w:r>
      </w:hyperlink>
      <w:r>
        <w:t xml:space="preserve">.</w:t>
      </w:r>
    </w:p>
    <w:bookmarkEnd w:id="275"/>
    <w:bookmarkStart w:id="277"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276">
        <w:r>
          <w:rPr>
            <w:rStyle w:val="Hyperlink"/>
          </w:rPr>
          <w:t xml:space="preserve">https://doi.org/10.1016/j.jenvman.2007.03.001</w:t>
        </w:r>
      </w:hyperlink>
      <w:r>
        <w:t xml:space="preserve">.</w:t>
      </w:r>
    </w:p>
    <w:bookmarkEnd w:id="277"/>
    <w:bookmarkStart w:id="278"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p>
    <w:bookmarkEnd w:id="278"/>
    <w:bookmarkStart w:id="279"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279"/>
    <w:bookmarkStart w:id="280"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280"/>
    <w:bookmarkStart w:id="282"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281">
        <w:r>
          <w:rPr>
            <w:rStyle w:val="Hyperlink"/>
          </w:rPr>
          <w:t xml:space="preserve">https://doi.org/10.1007/s10533-008-9207-6</w:t>
        </w:r>
      </w:hyperlink>
      <w:r>
        <w:t xml:space="preserve">.</w:t>
      </w:r>
    </w:p>
    <w:bookmarkEnd w:id="282"/>
    <w:bookmarkStart w:id="284"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283">
        <w:r>
          <w:rPr>
            <w:rStyle w:val="Hyperlink"/>
          </w:rPr>
          <w:t xml:space="preserve">https://doi.org/10.1021/es030360x</w:t>
        </w:r>
      </w:hyperlink>
      <w:r>
        <w:t xml:space="preserve">.</w:t>
      </w:r>
    </w:p>
    <w:bookmarkEnd w:id="284"/>
    <w:bookmarkStart w:id="286"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285">
        <w:r>
          <w:rPr>
            <w:rStyle w:val="Hyperlink"/>
          </w:rPr>
          <w:t xml:space="preserve">https://doi.org/10.1007/s11356-015-4078-6</w:t>
        </w:r>
      </w:hyperlink>
      <w:r>
        <w:t xml:space="preserve">.</w:t>
      </w:r>
    </w:p>
    <w:bookmarkEnd w:id="286"/>
    <w:bookmarkStart w:id="288"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87">
        <w:r>
          <w:rPr>
            <w:rStyle w:val="Hyperlink"/>
          </w:rPr>
          <w:t xml:space="preserve">https://doi.org/10.1029/2018GL080005</w:t>
        </w:r>
      </w:hyperlink>
      <w:r>
        <w:t xml:space="preserve">.</w:t>
      </w:r>
    </w:p>
    <w:bookmarkEnd w:id="288"/>
    <w:bookmarkEnd w:id="289"/>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9">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6659F4"/>
    <w:rPr>
      <w:rFonts w:asciiTheme="minorHAnsi" w:hAnsiTheme="minorHAnsi"/>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28" Target="media/rId128.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84" Target="media/rId84.png" /><Relationship Type="http://schemas.openxmlformats.org/officeDocument/2006/relationships/image" Id="rId161" Target="media/rId161.png" /><Relationship Type="http://schemas.openxmlformats.org/officeDocument/2006/relationships/image" Id="rId77" Target="media/rId77.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149" Target="media/rId149.png" /><Relationship Type="http://schemas.openxmlformats.org/officeDocument/2006/relationships/image" Id="rId148" Target="media/rId148.png" /><Relationship Type="http://schemas.openxmlformats.org/officeDocument/2006/relationships/image" Id="rId75" Target="media/rId75.png" /><Relationship Type="http://schemas.openxmlformats.org/officeDocument/2006/relationships/image" Id="rId71" Target="media/rId71.png" /><Relationship Type="http://schemas.openxmlformats.org/officeDocument/2006/relationships/image" Id="rId106" Target="media/rId106.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9" Target="media/rId89.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1" Target="media/rId111.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142" Target="media/rId142.png" /><Relationship Type="http://schemas.openxmlformats.org/officeDocument/2006/relationships/image" Id="rId141" Target="media/rId141.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39" Target="media/rId139.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33" Target="media/rId133.png" /><Relationship Type="http://schemas.openxmlformats.org/officeDocument/2006/relationships/image" Id="rId108" Target="media/rId108.png" /><Relationship Type="http://schemas.openxmlformats.org/officeDocument/2006/relationships/image" Id="rId137" Target="media/rId137.png" /><Relationship Type="http://schemas.openxmlformats.org/officeDocument/2006/relationships/image" Id="rId136" Target="media/rId136.png" /><Relationship Type="http://schemas.openxmlformats.org/officeDocument/2006/relationships/hyperlink" Id="rId251" Target="http://hdl.handle.net/1885/40940" TargetMode="External" /><Relationship Type="http://schemas.openxmlformats.org/officeDocument/2006/relationships/hyperlink" Id="rId202" Target="http://scholar.google.com/scholar?hl=en%7B\&amp;%7DbtnG=Search%7B\&amp;%7Dq=intitle:Running+Pure%7B\#%7D1" TargetMode="External" /><Relationship Type="http://schemas.openxmlformats.org/officeDocument/2006/relationships/hyperlink" Id="rId255" Target="http://www.jstor.com/stable/41295152" TargetMode="External" /><Relationship Type="http://schemas.openxmlformats.org/officeDocument/2006/relationships/hyperlink" Id="rId172" Target="http://www.standardmethods.org/" TargetMode="External" /><Relationship Type="http://schemas.openxmlformats.org/officeDocument/2006/relationships/hyperlink" Id="rId233" Target="https://archive.org/details/metaltransportre00lazeuoft/mode/2up" TargetMode="External" /><Relationship Type="http://schemas.openxmlformats.org/officeDocument/2006/relationships/hyperlink" Id="rId164" Target="https://doi.org/10.1002/j.1551-8833.1995.tb06299.x" TargetMode="External" /><Relationship Type="http://schemas.openxmlformats.org/officeDocument/2006/relationships/hyperlink" Id="rId223" Target="https://doi.org/10.1002/j.1551-8833.1995.tb06302.x" TargetMode="External" /><Relationship Type="http://schemas.openxmlformats.org/officeDocument/2006/relationships/hyperlink" Id="rId229" Target="https://doi.org/10.1002/j.1551-8833.2002.tb10250.x" TargetMode="External" /><Relationship Type="http://schemas.openxmlformats.org/officeDocument/2006/relationships/hyperlink" Id="rId237" Target="https://doi.org/10.1002/rra.1504" TargetMode="External" /><Relationship Type="http://schemas.openxmlformats.org/officeDocument/2006/relationships/hyperlink" Id="rId188" Target="https://doi.org/10.1007/978-94-007-1363-5" TargetMode="External" /><Relationship Type="http://schemas.openxmlformats.org/officeDocument/2006/relationships/hyperlink" Id="rId281" Target="https://doi.org/10.1007/s10533-008-9207-6" TargetMode="External" /><Relationship Type="http://schemas.openxmlformats.org/officeDocument/2006/relationships/hyperlink" Id="rId249" Target="https://doi.org/10.1007/s10533-015-0103-6" TargetMode="External" /><Relationship Type="http://schemas.openxmlformats.org/officeDocument/2006/relationships/hyperlink" Id="rId243" Target="https://doi.org/10.1007/s10533-018-0482-6" TargetMode="External" /><Relationship Type="http://schemas.openxmlformats.org/officeDocument/2006/relationships/hyperlink" Id="rId257" Target="https://doi.org/10.1007/s11270-013-1651-9" TargetMode="External" /><Relationship Type="http://schemas.openxmlformats.org/officeDocument/2006/relationships/hyperlink" Id="rId285" Target="https://doi.org/10.1007/s11356-015-4078-6" TargetMode="External" /><Relationship Type="http://schemas.openxmlformats.org/officeDocument/2006/relationships/hyperlink" Id="rId176" Target="https://doi.org/10.1007/s11749-016-0481-7" TargetMode="External" /><Relationship Type="http://schemas.openxmlformats.org/officeDocument/2006/relationships/hyperlink" Id="rId264" Target="https://doi.org/10.1007/sl0533-010-9416-7" TargetMode="External" /><Relationship Type="http://schemas.openxmlformats.org/officeDocument/2006/relationships/hyperlink" Id="rId196" Target="https://doi.org/10.1016/B978-0-12-382092-1.00019-1" TargetMode="External" /><Relationship Type="http://schemas.openxmlformats.org/officeDocument/2006/relationships/hyperlink" Id="rId259" Target="https://doi.org/10.1016/S0003-2670(96)00412-6" TargetMode="External" /><Relationship Type="http://schemas.openxmlformats.org/officeDocument/2006/relationships/hyperlink" Id="rId239" Target="https://doi.org/10.1016/j.chemosphere.2011.01.018" TargetMode="External" /><Relationship Type="http://schemas.openxmlformats.org/officeDocument/2006/relationships/hyperlink" Id="rId241" Target="https://doi.org/10.1016/j.cis.2010.06.007" TargetMode="External" /><Relationship Type="http://schemas.openxmlformats.org/officeDocument/2006/relationships/hyperlink" Id="rId276" Target="https://doi.org/10.1016/j.jenvman.2007.03.001" TargetMode="External" /><Relationship Type="http://schemas.openxmlformats.org/officeDocument/2006/relationships/hyperlink" Id="rId235" Target="https://doi.org/10.1016/j.jhazmat.2014.02.009" TargetMode="External" /><Relationship Type="http://schemas.openxmlformats.org/officeDocument/2006/relationships/hyperlink" Id="rId168" Target="https://doi.org/10.1016/j.jhydrol.2014.05.060" TargetMode="External" /><Relationship Type="http://schemas.openxmlformats.org/officeDocument/2006/relationships/hyperlink" Id="rId268" Target="https://doi.org/10.1016/j.scitotenv.2016.09.113" TargetMode="External" /><Relationship Type="http://schemas.openxmlformats.org/officeDocument/2006/relationships/hyperlink" Id="rId204" Target="https://doi.org/10.1016/j.watres.2010.08.051" TargetMode="External" /><Relationship Type="http://schemas.openxmlformats.org/officeDocument/2006/relationships/hyperlink" Id="rId198" Target="https://doi.org/10.1016/j.watres.2016.08.031" TargetMode="External" /><Relationship Type="http://schemas.openxmlformats.org/officeDocument/2006/relationships/hyperlink" Id="rId283" Target="https://doi.org/10.1021/es030360x" TargetMode="External" /><Relationship Type="http://schemas.openxmlformats.org/officeDocument/2006/relationships/hyperlink" Id="rId166" Target="https://doi.org/10.1021/es103992s" TargetMode="External" /><Relationship Type="http://schemas.openxmlformats.org/officeDocument/2006/relationships/hyperlink" Id="rId221" Target="https://doi.org/10.1029/2005JG000082" TargetMode="External" /><Relationship Type="http://schemas.openxmlformats.org/officeDocument/2006/relationships/hyperlink" Id="rId231" Target="https://doi.org/10.1029/2005WR004362" TargetMode="External" /><Relationship Type="http://schemas.openxmlformats.org/officeDocument/2006/relationships/hyperlink" Id="rId170" Target="https://doi.org/10.1029/2007JG000674" TargetMode="External" /><Relationship Type="http://schemas.openxmlformats.org/officeDocument/2006/relationships/hyperlink" Id="rId287" Target="https://doi.org/10.1029/2018GL080005" TargetMode="External" /><Relationship Type="http://schemas.openxmlformats.org/officeDocument/2006/relationships/hyperlink" Id="rId274" Target="https://doi.org/10.1037/a0016973" TargetMode="External" /><Relationship Type="http://schemas.openxmlformats.org/officeDocument/2006/relationships/hyperlink" Id="rId162" Target="https://doi.org/10.1111/ele.12897" TargetMode="External" /><Relationship Type="http://schemas.openxmlformats.org/officeDocument/2006/relationships/hyperlink" Id="rId270" Target="https://doi.org/10.1111/j.1365-2427.2011.02613.x" TargetMode="External" /><Relationship Type="http://schemas.openxmlformats.org/officeDocument/2006/relationships/hyperlink" Id="rId194" Target="https://doi.org/10.1139/cjfas-2014-0400" TargetMode="External" /><Relationship Type="http://schemas.openxmlformats.org/officeDocument/2006/relationships/hyperlink" Id="rId272" Target="https://doi.org/10.1186/1471-2105-9-307" TargetMode="External" /><Relationship Type="http://schemas.openxmlformats.org/officeDocument/2006/relationships/hyperlink" Id="rId178" Target="https://doi.org/10.1201/9780367816377-11" TargetMode="External" /><Relationship Type="http://schemas.openxmlformats.org/officeDocument/2006/relationships/hyperlink" Id="rId209" Target="https://doi.org/10.13031/2013.15662" TargetMode="External" /><Relationship Type="http://schemas.openxmlformats.org/officeDocument/2006/relationships/hyperlink" Id="rId247" Target="https://doi.org/10.14288/1.0387350" TargetMode="External" /><Relationship Type="http://schemas.openxmlformats.org/officeDocument/2006/relationships/hyperlink" Id="rId174" Target="https://doi.org/10.2105/SMWW.2882.113" TargetMode="External" /><Relationship Type="http://schemas.openxmlformats.org/officeDocument/2006/relationships/hyperlink" Id="rId186" Target="https://doi.org/10.2166/aqua.2008.064" TargetMode="External" /><Relationship Type="http://schemas.openxmlformats.org/officeDocument/2006/relationships/hyperlink" Id="rId207" Target="https://doi.org/10.3133/fs06700" TargetMode="External" /><Relationship Type="http://schemas.openxmlformats.org/officeDocument/2006/relationships/hyperlink" Id="rId253" Target="https://doi.org/10.5194/bg-10-2315-2013" TargetMode="External" /><Relationship Type="http://schemas.openxmlformats.org/officeDocument/2006/relationships/hyperlink" Id="rId192" Target="https://doi.org/IWSS-297445977-5079" TargetMode="External" /><Relationship Type="http://schemas.openxmlformats.org/officeDocument/2006/relationships/hyperlink" Id="rId225" Target="https://doi.org/doi:10.1046/j.1365-2427.1997.d01-539.x" TargetMode="External" /><Relationship Type="http://schemas.openxmlformats.org/officeDocument/2006/relationships/hyperlink" Id="rId200" Target="https://pubs.er.usgs.gov/publication/sir20075282" TargetMode="External" /><Relationship Type="http://schemas.openxmlformats.org/officeDocument/2006/relationships/hyperlink" Id="rId211" Target="https://www.canada.ca/content/dam/hc-sc/documents/programs/consultation-organic-matter-drinking-water/NOM20190129-eng.pdf" TargetMode="External" /><Relationship Type="http://schemas.openxmlformats.org/officeDocument/2006/relationships/hyperlink" Id="rId213" Target="https://www.canada.ca/content/dam/hc-sc/migration/hc-sc/ewh-semt/alt%7B\_%7Dformats/pdf/pubs/water-eau/sum%7B\_%7Dguide-res%7B\_%7Drecom/summary-table-August-15-2019-eng.pdf" TargetMode="External" /><Relationship Type="http://schemas.openxmlformats.org/officeDocument/2006/relationships/hyperlink" Id="rId215" Target="https://www.canada.ca/en/health-canada/services/healthy-living/your-health/environment/drinking-water-chlorination.html" TargetMode="External" /><Relationship Type="http://schemas.openxmlformats.org/officeDocument/2006/relationships/hyperlink" Id="rId190" Target="https://www.crd.bc.ca/project/past-capital-projects-and-initiatives/water-supply-plan" TargetMode="External" /><Relationship Type="http://schemas.openxmlformats.org/officeDocument/2006/relationships/hyperlink" Id="rId183" Target="https://www.crd.bc.ca/service/public-tours/watershed-tours/facts-figures" TargetMode="External" /><Relationship Type="http://schemas.openxmlformats.org/officeDocument/2006/relationships/hyperlink" Id="rId261"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17" Target="https://www.healthlinkbc.ca/healthlinkbc-files/drinking-water-chlorination" TargetMode="External" /><Relationship Type="http://schemas.openxmlformats.org/officeDocument/2006/relationships/hyperlink" Id="rId245" Target="https://www.jstor.org/stable/1937326" TargetMode="External" /><Relationship Type="http://schemas.openxmlformats.org/officeDocument/2006/relationships/hyperlink" Id="rId266" Target="https://www.jstor.org/stable/24702986" TargetMode="External" /><Relationship Type="http://schemas.openxmlformats.org/officeDocument/2006/relationships/hyperlink" Id="rId219" Target="https://www.jstor.org/stable/40058211" TargetMode="External" /><Relationship Type="http://schemas.openxmlformats.org/officeDocument/2006/relationships/hyperlink" Id="rId227" Target="https://www.jstor.org/stable/41311011" TargetMode="External" /><Relationship Type="http://schemas.openxmlformats.org/officeDocument/2006/relationships/hyperlink" Id="rId180"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51" Target="http://hdl.handle.net/1885/40940" TargetMode="External" /><Relationship Type="http://schemas.openxmlformats.org/officeDocument/2006/relationships/hyperlink" Id="rId202" Target="http://scholar.google.com/scholar?hl=en%7B\&amp;%7DbtnG=Search%7B\&amp;%7Dq=intitle:Running+Pure%7B\#%7D1" TargetMode="External" /><Relationship Type="http://schemas.openxmlformats.org/officeDocument/2006/relationships/hyperlink" Id="rId255" Target="http://www.jstor.com/stable/41295152" TargetMode="External" /><Relationship Type="http://schemas.openxmlformats.org/officeDocument/2006/relationships/hyperlink" Id="rId172" Target="http://www.standardmethods.org/" TargetMode="External" /><Relationship Type="http://schemas.openxmlformats.org/officeDocument/2006/relationships/hyperlink" Id="rId233" Target="https://archive.org/details/metaltransportre00lazeuoft/mode/2up" TargetMode="External" /><Relationship Type="http://schemas.openxmlformats.org/officeDocument/2006/relationships/hyperlink" Id="rId164" Target="https://doi.org/10.1002/j.1551-8833.1995.tb06299.x" TargetMode="External" /><Relationship Type="http://schemas.openxmlformats.org/officeDocument/2006/relationships/hyperlink" Id="rId223" Target="https://doi.org/10.1002/j.1551-8833.1995.tb06302.x" TargetMode="External" /><Relationship Type="http://schemas.openxmlformats.org/officeDocument/2006/relationships/hyperlink" Id="rId229" Target="https://doi.org/10.1002/j.1551-8833.2002.tb10250.x" TargetMode="External" /><Relationship Type="http://schemas.openxmlformats.org/officeDocument/2006/relationships/hyperlink" Id="rId237" Target="https://doi.org/10.1002/rra.1504" TargetMode="External" /><Relationship Type="http://schemas.openxmlformats.org/officeDocument/2006/relationships/hyperlink" Id="rId188" Target="https://doi.org/10.1007/978-94-007-1363-5" TargetMode="External" /><Relationship Type="http://schemas.openxmlformats.org/officeDocument/2006/relationships/hyperlink" Id="rId281" Target="https://doi.org/10.1007/s10533-008-9207-6" TargetMode="External" /><Relationship Type="http://schemas.openxmlformats.org/officeDocument/2006/relationships/hyperlink" Id="rId249" Target="https://doi.org/10.1007/s10533-015-0103-6" TargetMode="External" /><Relationship Type="http://schemas.openxmlformats.org/officeDocument/2006/relationships/hyperlink" Id="rId243" Target="https://doi.org/10.1007/s10533-018-0482-6" TargetMode="External" /><Relationship Type="http://schemas.openxmlformats.org/officeDocument/2006/relationships/hyperlink" Id="rId257" Target="https://doi.org/10.1007/s11270-013-1651-9" TargetMode="External" /><Relationship Type="http://schemas.openxmlformats.org/officeDocument/2006/relationships/hyperlink" Id="rId285" Target="https://doi.org/10.1007/s11356-015-4078-6" TargetMode="External" /><Relationship Type="http://schemas.openxmlformats.org/officeDocument/2006/relationships/hyperlink" Id="rId176" Target="https://doi.org/10.1007/s11749-016-0481-7" TargetMode="External" /><Relationship Type="http://schemas.openxmlformats.org/officeDocument/2006/relationships/hyperlink" Id="rId264" Target="https://doi.org/10.1007/sl0533-010-9416-7" TargetMode="External" /><Relationship Type="http://schemas.openxmlformats.org/officeDocument/2006/relationships/hyperlink" Id="rId196" Target="https://doi.org/10.1016/B978-0-12-382092-1.00019-1" TargetMode="External" /><Relationship Type="http://schemas.openxmlformats.org/officeDocument/2006/relationships/hyperlink" Id="rId259" Target="https://doi.org/10.1016/S0003-2670(96)00412-6" TargetMode="External" /><Relationship Type="http://schemas.openxmlformats.org/officeDocument/2006/relationships/hyperlink" Id="rId239" Target="https://doi.org/10.1016/j.chemosphere.2011.01.018" TargetMode="External" /><Relationship Type="http://schemas.openxmlformats.org/officeDocument/2006/relationships/hyperlink" Id="rId241" Target="https://doi.org/10.1016/j.cis.2010.06.007" TargetMode="External" /><Relationship Type="http://schemas.openxmlformats.org/officeDocument/2006/relationships/hyperlink" Id="rId276" Target="https://doi.org/10.1016/j.jenvman.2007.03.001" TargetMode="External" /><Relationship Type="http://schemas.openxmlformats.org/officeDocument/2006/relationships/hyperlink" Id="rId235" Target="https://doi.org/10.1016/j.jhazmat.2014.02.009" TargetMode="External" /><Relationship Type="http://schemas.openxmlformats.org/officeDocument/2006/relationships/hyperlink" Id="rId168" Target="https://doi.org/10.1016/j.jhydrol.2014.05.060" TargetMode="External" /><Relationship Type="http://schemas.openxmlformats.org/officeDocument/2006/relationships/hyperlink" Id="rId268" Target="https://doi.org/10.1016/j.scitotenv.2016.09.113" TargetMode="External" /><Relationship Type="http://schemas.openxmlformats.org/officeDocument/2006/relationships/hyperlink" Id="rId204" Target="https://doi.org/10.1016/j.watres.2010.08.051" TargetMode="External" /><Relationship Type="http://schemas.openxmlformats.org/officeDocument/2006/relationships/hyperlink" Id="rId198" Target="https://doi.org/10.1016/j.watres.2016.08.031" TargetMode="External" /><Relationship Type="http://schemas.openxmlformats.org/officeDocument/2006/relationships/hyperlink" Id="rId283" Target="https://doi.org/10.1021/es030360x" TargetMode="External" /><Relationship Type="http://schemas.openxmlformats.org/officeDocument/2006/relationships/hyperlink" Id="rId166" Target="https://doi.org/10.1021/es103992s" TargetMode="External" /><Relationship Type="http://schemas.openxmlformats.org/officeDocument/2006/relationships/hyperlink" Id="rId221" Target="https://doi.org/10.1029/2005JG000082" TargetMode="External" /><Relationship Type="http://schemas.openxmlformats.org/officeDocument/2006/relationships/hyperlink" Id="rId231" Target="https://doi.org/10.1029/2005WR004362" TargetMode="External" /><Relationship Type="http://schemas.openxmlformats.org/officeDocument/2006/relationships/hyperlink" Id="rId170" Target="https://doi.org/10.1029/2007JG000674" TargetMode="External" /><Relationship Type="http://schemas.openxmlformats.org/officeDocument/2006/relationships/hyperlink" Id="rId287" Target="https://doi.org/10.1029/2018GL080005" TargetMode="External" /><Relationship Type="http://schemas.openxmlformats.org/officeDocument/2006/relationships/hyperlink" Id="rId274" Target="https://doi.org/10.1037/a0016973" TargetMode="External" /><Relationship Type="http://schemas.openxmlformats.org/officeDocument/2006/relationships/hyperlink" Id="rId162" Target="https://doi.org/10.1111/ele.12897" TargetMode="External" /><Relationship Type="http://schemas.openxmlformats.org/officeDocument/2006/relationships/hyperlink" Id="rId270" Target="https://doi.org/10.1111/j.1365-2427.2011.02613.x" TargetMode="External" /><Relationship Type="http://schemas.openxmlformats.org/officeDocument/2006/relationships/hyperlink" Id="rId194" Target="https://doi.org/10.1139/cjfas-2014-0400" TargetMode="External" /><Relationship Type="http://schemas.openxmlformats.org/officeDocument/2006/relationships/hyperlink" Id="rId272" Target="https://doi.org/10.1186/1471-2105-9-307" TargetMode="External" /><Relationship Type="http://schemas.openxmlformats.org/officeDocument/2006/relationships/hyperlink" Id="rId178" Target="https://doi.org/10.1201/9780367816377-11" TargetMode="External" /><Relationship Type="http://schemas.openxmlformats.org/officeDocument/2006/relationships/hyperlink" Id="rId209" Target="https://doi.org/10.13031/2013.15662" TargetMode="External" /><Relationship Type="http://schemas.openxmlformats.org/officeDocument/2006/relationships/hyperlink" Id="rId247" Target="https://doi.org/10.14288/1.0387350" TargetMode="External" /><Relationship Type="http://schemas.openxmlformats.org/officeDocument/2006/relationships/hyperlink" Id="rId174" Target="https://doi.org/10.2105/SMWW.2882.113" TargetMode="External" /><Relationship Type="http://schemas.openxmlformats.org/officeDocument/2006/relationships/hyperlink" Id="rId186" Target="https://doi.org/10.2166/aqua.2008.064" TargetMode="External" /><Relationship Type="http://schemas.openxmlformats.org/officeDocument/2006/relationships/hyperlink" Id="rId207" Target="https://doi.org/10.3133/fs06700" TargetMode="External" /><Relationship Type="http://schemas.openxmlformats.org/officeDocument/2006/relationships/hyperlink" Id="rId253" Target="https://doi.org/10.5194/bg-10-2315-2013" TargetMode="External" /><Relationship Type="http://schemas.openxmlformats.org/officeDocument/2006/relationships/hyperlink" Id="rId192" Target="https://doi.org/IWSS-297445977-5079" TargetMode="External" /><Relationship Type="http://schemas.openxmlformats.org/officeDocument/2006/relationships/hyperlink" Id="rId225" Target="https://doi.org/doi:10.1046/j.1365-2427.1997.d01-539.x" TargetMode="External" /><Relationship Type="http://schemas.openxmlformats.org/officeDocument/2006/relationships/hyperlink" Id="rId200" Target="https://pubs.er.usgs.gov/publication/sir20075282" TargetMode="External" /><Relationship Type="http://schemas.openxmlformats.org/officeDocument/2006/relationships/hyperlink" Id="rId211" Target="https://www.canada.ca/content/dam/hc-sc/documents/programs/consultation-organic-matter-drinking-water/NOM20190129-eng.pdf" TargetMode="External" /><Relationship Type="http://schemas.openxmlformats.org/officeDocument/2006/relationships/hyperlink" Id="rId213" Target="https://www.canada.ca/content/dam/hc-sc/migration/hc-sc/ewh-semt/alt%7B\_%7Dformats/pdf/pubs/water-eau/sum%7B\_%7Dguide-res%7B\_%7Drecom/summary-table-August-15-2019-eng.pdf" TargetMode="External" /><Relationship Type="http://schemas.openxmlformats.org/officeDocument/2006/relationships/hyperlink" Id="rId215" Target="https://www.canada.ca/en/health-canada/services/healthy-living/your-health/environment/drinking-water-chlorination.html" TargetMode="External" /><Relationship Type="http://schemas.openxmlformats.org/officeDocument/2006/relationships/hyperlink" Id="rId190" Target="https://www.crd.bc.ca/project/past-capital-projects-and-initiatives/water-supply-plan" TargetMode="External" /><Relationship Type="http://schemas.openxmlformats.org/officeDocument/2006/relationships/hyperlink" Id="rId183" Target="https://www.crd.bc.ca/service/public-tours/watershed-tours/facts-figures" TargetMode="External" /><Relationship Type="http://schemas.openxmlformats.org/officeDocument/2006/relationships/hyperlink" Id="rId261"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17" Target="https://www.healthlinkbc.ca/healthlinkbc-files/drinking-water-chlorination" TargetMode="External" /><Relationship Type="http://schemas.openxmlformats.org/officeDocument/2006/relationships/hyperlink" Id="rId245" Target="https://www.jstor.org/stable/1937326" TargetMode="External" /><Relationship Type="http://schemas.openxmlformats.org/officeDocument/2006/relationships/hyperlink" Id="rId266" Target="https://www.jstor.org/stable/24702986" TargetMode="External" /><Relationship Type="http://schemas.openxmlformats.org/officeDocument/2006/relationships/hyperlink" Id="rId219" Target="https://www.jstor.org/stable/40058211" TargetMode="External" /><Relationship Type="http://schemas.openxmlformats.org/officeDocument/2006/relationships/hyperlink" Id="rId227" Target="https://www.jstor.org/stable/41311011" TargetMode="External" /><Relationship Type="http://schemas.openxmlformats.org/officeDocument/2006/relationships/hyperlink" Id="rId180"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TotalTime>
  <Pages>32</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21024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and dissolved organic carbon across a second growth forested watershed on Vancouver Island, BC</dc:title>
  <dc:creator>Hannah J. McSorley</dc:creator>
  <cp:keywords/>
  <dcterms:created xsi:type="dcterms:W3CDTF">2020-08-13T04:33:55Z</dcterms:created>
  <dcterms:modified xsi:type="dcterms:W3CDTF">2020-08-13T04:33:55Z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